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BERTHELSEN SPENCER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2855 GAZELLE COURT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CARLSBAD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IONIS PHARMACEUTICALS INC</w:t>
              </w:r>
            </w:hyperlink>
            <w:r>
              <w:rPr/>
              <w:t xml:space="preserve"> [ </w:t>
            </w:r>
            <w:r>
              <w:rPr>
                <w:rFonts w:ascii="Times;serif" w:hAnsi="Times;serif"/>
                <w:color w:val="0000FF"/>
                <w:sz w:val="24"/>
                <w:shd w:fill="FFFFFF" w:val="clear"/>
              </w:rPr>
              <w:t>IONS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5"/>
        <w:gridCol w:w="905"/>
        <w:gridCol w:w="775"/>
        <w:gridCol w:w="601"/>
        <w:gridCol w:w="345"/>
        <w:gridCol w:w="878"/>
        <w:gridCol w:w="444"/>
        <w:gridCol w:w="751"/>
        <w:gridCol w:w="1147"/>
        <w:gridCol w:w="985"/>
        <w:gridCol w:w="110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0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24.42</w:t>
            </w:r>
            <w:r>
              <w:rPr/>
              <w:t xml:space="preserve"> </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164,013</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8,000</w:t>
            </w:r>
            <w:r>
              <w:rPr>
                <w:rFonts w:ascii="Times;serif" w:hAnsi="Times;serif"/>
                <w:color w:val="008000"/>
                <w:position w:val="7"/>
                <w:sz w:val="16"/>
                <w:sz w:val="20"/>
                <w:shd w:fill="FFFFFF" w:val="clear"/>
              </w:rPr>
              <w:t>(1)</w:t>
            </w:r>
            <w:r>
              <w:rPr/>
              <w:t xml:space="preserve"> </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73.49</w:t>
            </w:r>
            <w:r>
              <w:rPr/>
              <w:t xml:space="preserve"> </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156,013</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w:t>
            </w:r>
          </w:p>
        </w:tc>
        <w:tc>
          <w:tcPr>
            <w:tcW w:w="9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Daughter</w:t>
            </w:r>
            <w:r>
              <w:rPr>
                <w:rFonts w:ascii="Times;serif" w:hAnsi="Times;serif"/>
                <w:color w:val="008000"/>
                <w:position w:val="7"/>
                <w:sz w:val="16"/>
                <w:sz w:val="20"/>
                <w:shd w:fill="FFFFFF" w:val="clear"/>
              </w:rPr>
              <w:t>(2)</w:t>
            </w:r>
            <w:r>
              <w:rPr/>
              <w:t xml:space="preserve"> </w:t>
            </w:r>
          </w:p>
        </w:tc>
      </w:tr>
    </w:tbl>
    <w:tbl>
      <w:tblPr>
        <w:tblW w:w="12314" w:type="dxa"/>
        <w:jc w:val="left"/>
        <w:tblInd w:w="-7" w:type="dxa"/>
        <w:tblLayout w:type="fixed"/>
        <w:tblCellMar>
          <w:top w:w="60" w:type="dxa"/>
          <w:left w:w="60" w:type="dxa"/>
          <w:bottom w:w="60" w:type="dxa"/>
          <w:right w:w="60" w:type="dxa"/>
        </w:tblCellMar>
      </w:tblPr>
      <w:tblGrid>
        <w:gridCol w:w="132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231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3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24.42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07/01/2018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sold pursuant to a Rule 10b5-1 Trading Plan adopted by the reporting person on September 12,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disclaims beneficial ownership of all securities held by his daughter, and this report should not be deemed an admission that the reporting person is the beneficial owner of such securities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Patrick R. O'Neil, attorney-in-fact For: Spencer R. Berthelsen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181548" TargetMode="External"/><Relationship Id="rId5" Type="http://schemas.openxmlformats.org/officeDocument/2006/relationships/hyperlink" Target="http://www.sec.gov/cgi-bin/browse-edgar?action=getcompany&amp;CIK=00008740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657</Words>
  <Characters>3548</Characters>
  <CharactersWithSpaces>4126</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