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JOSEPH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39.94</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22,532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11,419</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79.0394</w:t>
            </w:r>
            <w:r>
              <w:rPr>
                <w:rFonts w:ascii="Times;serif" w:hAnsi="Times;serif"/>
                <w:color w:val="008000"/>
                <w:position w:val="7"/>
                <w:sz w:val="16"/>
                <w:sz w:val="20"/>
                <w:shd w:fill="FFFFFF" w:val="clear"/>
              </w:rPr>
              <w:t>(2)</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(3)</w:t>
            </w:r>
            <w:r>
              <w:rPr/>
              <w:t xml:space="preserve"> </w:t>
            </w:r>
          </w:p>
        </w:tc>
      </w:tr>
    </w:tbl>
    <w:tbl>
      <w:tblPr>
        <w:tblW w:w="1292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711"/>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39.94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(4)</w:t>
            </w:r>
            <w:r>
              <w:rPr/>
              <w:t xml:space="preserve"> </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(4)</w:t>
            </w:r>
            <w:r>
              <w:rPr/>
              <w:t xml:space="preserve"> </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by the reporting person on November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$78.39 to $79.38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all securities held by his son, and this report should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Grant of Restricted Stock Unit award on July 1, 2026 to the reporting person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however, the reporting person has elected to defer delivery of such shares until the earlier to occur of the 30th day following the reporting person's Separation from Service from the Company or the date of a Change in Control of the Company, both as defined in Treasury Regulation Section 1.409A. These Restricted Stock Units are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Joseph Klein,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6369"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5564</Characters>
  <CharactersWithSpaces>6504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