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LOSCALZO JOSEPH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2855 GAZELLE COURT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IONIS PHARMACEUTICALS INC</w:t>
              </w:r>
            </w:hyperlink>
            <w:r>
              <w:rPr/>
              <w:t xml:space="preserve"> [ </w:t>
            </w:r>
            <w:r>
              <w:rPr>
                <w:rFonts w:ascii="Times;serif" w:hAnsi="Times;serif"/>
                <w:color w:val="0000FF"/>
                <w:sz w:val="24"/>
                <w:shd w:fill="FFFFFF" w:val="clear"/>
              </w:rPr>
              <w:t>IONS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74" w:type="dxa"/>
        <w:jc w:val="left"/>
        <w:tblInd w:w="-7" w:type="dxa"/>
        <w:tblLayout w:type="fixed"/>
        <w:tblCellMar>
          <w:top w:w="60" w:type="dxa"/>
          <w:left w:w="60" w:type="dxa"/>
          <w:bottom w:w="60" w:type="dxa"/>
          <w:right w:w="60" w:type="dxa"/>
        </w:tblCellMar>
      </w:tblPr>
      <w:tblGrid>
        <w:gridCol w:w="1325"/>
        <w:gridCol w:w="861"/>
        <w:gridCol w:w="891"/>
        <w:gridCol w:w="771"/>
        <w:gridCol w:w="591"/>
        <w:gridCol w:w="300"/>
        <w:gridCol w:w="666"/>
        <w:gridCol w:w="276"/>
        <w:gridCol w:w="906"/>
        <w:gridCol w:w="801"/>
        <w:gridCol w:w="891"/>
        <w:gridCol w:w="68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3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79.19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5,369</w:t>
            </w:r>
            <w:r>
              <w:rPr>
                <w:rFonts w:ascii="Times;serif" w:hAnsi="Times;serif"/>
                <w:color w:val="008000"/>
                <w:position w:val="7"/>
                <w:sz w:val="16"/>
                <w:sz w:val="20"/>
                <w:shd w:fill="FFFFFF" w:val="clear"/>
              </w:rPr>
              <w:t>(1)</w:t>
            </w:r>
            <w:r>
              <w:rPr/>
              <w:t xml:space="preserve"> </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07/01/2027</w:t>
            </w: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06/30/2036</w:t>
            </w: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5,369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5,369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2,301</w:t>
            </w:r>
            <w:r>
              <w:rPr>
                <w:rFonts w:ascii="Times;serif" w:hAnsi="Times;serif"/>
                <w:color w:val="008000"/>
                <w:position w:val="7"/>
                <w:sz w:val="16"/>
                <w:sz w:val="20"/>
                <w:shd w:fill="FFFFFF" w:val="clear"/>
              </w:rPr>
              <w:t>(1)</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7,521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the Company's Non-Employee Director Compensation Policy, these grants were adjusted downward such that the non-employee Director's annual equity compensation in 2026 totals no more than $400,000 based on the aggregate grant date fair value as determined in accordance with FASB Topic ASC 718.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Grant on July 1, 2026 to reporting person of stock options under the Amended and Restated Ionis Pharmaceuticals, Inc. 2002 Non-Employee Directors' Stock Option Plan. 100% of the shares subject to the option vest and become exercisable on either the first anniversary of the date of grant or the next regularly scheduled annual meeting of stockholders of the Company, whichever occurs earlier. The option is exercisable to 0 shares on July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represents a contingent right to receive one share of Ionis common stock, or its equivalent cash value.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Grant on July 1, 2026 to reporting person of Restricted Stock Unit award under the Amended and Restated Ionis Pharmaceuticals, Inc. 2002 Non-Employee Directors' Stock Option Plan. These Restricted Stock Units vest 100% on either the first anniversary of the date of grant or the next regularly scheduled annual meeting of stockholders of the Company, whichever occurs earlier, and will be delivered to the reporting person on the July 15th following the vesting date. The Restricted Stock Unit is vested as to 0 shares on July 1,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Patrick R. O'Neil, attorney-in-fact For: Joseph Loscalzo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76128" TargetMode="External"/><Relationship Id="rId5" Type="http://schemas.openxmlformats.org/officeDocument/2006/relationships/hyperlink" Target="http://www.sec.gov/cgi-bin/browse-edgar?action=getcompany&amp;CIK=00008740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814</Words>
  <Characters>4403</Characters>
  <CharactersWithSpaces>5148</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