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935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935595"/>
                    </a:xfrm>
                    <a:prstGeom prst="rect">
                      <a:avLst/>
                    </a:prstGeom>
                    <a:noFill/>
                  </pic:spPr>
                </pic:pic>
              </a:graphicData>
            </a:graphic>
          </wp:anchor>
        </w:drawing>
      </w:r>
    </w:p>
    <w:p>
      <w:pPr>
        <w:spacing w:after="0" w:line="1181" w:lineRule="exact"/>
        <w:rPr>
          <w:sz w:val="24"/>
          <w:szCs w:val="24"/>
          <w:color w:val="auto"/>
        </w:rPr>
      </w:pPr>
    </w:p>
    <w:p>
      <w:pPr>
        <w:sectPr>
          <w:pgSz w:w="11900" w:h="16954" w:orient="portrait"/>
          <w:cols w:equalWidth="0" w:num="2">
            <w:col w:w="2320" w:space="260"/>
            <w:col w:w="850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0" w:type="dxa"/>
            <w:vAlign w:val="bottom"/>
            <w:gridSpan w:val="4"/>
            <w:vMerge w:val="restart"/>
          </w:tcPr>
          <w:p>
            <w:pPr>
              <w:spacing w:after="0" w:line="238" w:lineRule="exact"/>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Kordasiewicz Holly B.</w:t>
              </w:r>
            </w:hyperlink>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8"/>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IONIS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IONS</w:t>
            </w: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gridSpan w:val="4"/>
            <w:vMerge w:val="continue"/>
          </w:tcPr>
          <w:p>
            <w:pPr>
              <w:spacing w:after="0"/>
              <w:rPr>
                <w:sz w:val="4"/>
                <w:szCs w:val="4"/>
                <w:color w:val="auto"/>
              </w:rPr>
            </w:pPr>
          </w:p>
        </w:tc>
        <w:tc>
          <w:tcPr>
            <w:tcW w:w="5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gridSpan w:val="4"/>
            <w:vMerge w:val="continue"/>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900" w:type="dxa"/>
            <w:vAlign w:val="bottom"/>
            <w:tcBorders>
              <w:bottom w:val="single" w:sz="8" w:color="0000EE"/>
            </w:tcBorders>
            <w:gridSpan w:val="4"/>
            <w:vMerge w:val="continue"/>
          </w:tcPr>
          <w:p>
            <w:pPr>
              <w:spacing w:after="0"/>
              <w:rPr>
                <w:sz w:val="4"/>
                <w:szCs w:val="4"/>
                <w:color w:val="auto"/>
              </w:rPr>
            </w:pPr>
          </w:p>
        </w:tc>
        <w:tc>
          <w:tcPr>
            <w:tcW w:w="540" w:type="dxa"/>
            <w:vAlign w:val="bottom"/>
            <w:vMerge w:val="restart"/>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gridSpan w:val="4"/>
            <w:vMerge w:val="restart"/>
          </w:tcPr>
          <w:p>
            <w:pPr>
              <w:ind w:left="260"/>
              <w:spacing w:after="0" w:line="238" w:lineRule="exact"/>
              <w:rPr>
                <w:sz w:val="20"/>
                <w:szCs w:val="20"/>
                <w:color w:val="auto"/>
              </w:rPr>
            </w:pPr>
            <w:r>
              <w:rPr>
                <w:rFonts w:ascii="Times New Roman" w:cs="Times New Roman" w:eastAsia="Times New Roman" w:hAnsi="Times New Roman"/>
                <w:sz w:val="21"/>
                <w:szCs w:val="21"/>
                <w:color w:val="auto"/>
              </w:rPr>
              <w:t>]</w:t>
            </w: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900" w:type="dxa"/>
            <w:vAlign w:val="bottom"/>
            <w:gridSpan w:val="4"/>
          </w:tcPr>
          <w:p>
            <w:pPr>
              <w:spacing w:after="0"/>
              <w:rPr>
                <w:sz w:val="3"/>
                <w:szCs w:val="3"/>
                <w:color w:val="auto"/>
              </w:rPr>
            </w:pPr>
          </w:p>
        </w:tc>
        <w:tc>
          <w:tcPr>
            <w:tcW w:w="54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gridSpan w:val="4"/>
            <w:vMerge w:val="continue"/>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11"/>
                <w:szCs w:val="11"/>
                <w:color w:val="auto"/>
              </w:rPr>
            </w:pPr>
          </w:p>
        </w:tc>
        <w:tc>
          <w:tcPr>
            <w:tcW w:w="14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9A9A9A"/>
              <w:bottom w:val="single" w:sz="8" w:color="9A9A9A"/>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9A9A9A"/>
            </w:tcBorders>
          </w:tcPr>
          <w:p>
            <w:pPr>
              <w:spacing w:after="0"/>
              <w:rPr>
                <w:sz w:val="9"/>
                <w:szCs w:val="9"/>
                <w:color w:val="auto"/>
              </w:rPr>
            </w:pPr>
          </w:p>
        </w:tc>
        <w:tc>
          <w:tcPr>
            <w:tcW w:w="1220" w:type="dxa"/>
            <w:vAlign w:val="bottom"/>
            <w:tcBorders>
              <w:top w:val="single" w:sz="8" w:color="9A9A9A"/>
              <w:bottom w:val="single" w:sz="8" w:color="9A9A9A"/>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tcBorders>
              <w:top w:val="single" w:sz="8" w:color="9A9A9A"/>
              <w:bottom w:val="single" w:sz="8" w:color="9A9A9A"/>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Borders>
              <w:top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20" w:type="dxa"/>
            <w:vAlign w:val="bottom"/>
            <w:gridSpan w:val="7"/>
            <w:vMerge w:val="restart"/>
          </w:tcPr>
          <w:p>
            <w:pPr>
              <w:ind w:left="40"/>
              <w:spacing w:after="0"/>
              <w:rPr>
                <w:sz w:val="20"/>
                <w:szCs w:val="20"/>
                <w:color w:val="auto"/>
              </w:rPr>
            </w:pPr>
            <w:r>
              <w:rPr>
                <w:rFonts w:ascii="Times New Roman" w:cs="Times New Roman" w:eastAsia="Times New Roman" w:hAnsi="Times New Roman"/>
                <w:sz w:val="17"/>
                <w:szCs w:val="17"/>
                <w:color w:val="0000FF"/>
              </w:rPr>
              <w:t>EVP, Chief Development Officer</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gridSpan w:val="5"/>
            <w:vMerge w:val="continue"/>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2855 GAZELLE COURT</w:t>
            </w:r>
          </w:p>
        </w:tc>
        <w:tc>
          <w:tcPr>
            <w:tcW w:w="1100" w:type="dxa"/>
            <w:vAlign w:val="bottom"/>
          </w:tcPr>
          <w:p>
            <w:pPr>
              <w:spacing w:after="0"/>
              <w:rPr>
                <w:sz w:val="9"/>
                <w:szCs w:val="9"/>
                <w:color w:val="auto"/>
              </w:rPr>
            </w:pPr>
          </w:p>
        </w:tc>
        <w:tc>
          <w:tcPr>
            <w:tcW w:w="1520" w:type="dxa"/>
            <w:vAlign w:val="bottom"/>
            <w:gridSpan w:val="6"/>
            <w:vMerge w:val="restart"/>
          </w:tcPr>
          <w:p>
            <w:pPr>
              <w:ind w:left="260"/>
              <w:spacing w:after="0"/>
              <w:rPr>
                <w:sz w:val="20"/>
                <w:szCs w:val="20"/>
                <w:color w:val="auto"/>
              </w:rPr>
            </w:pPr>
            <w:r>
              <w:rPr>
                <w:rFonts w:ascii="Times New Roman" w:cs="Times New Roman" w:eastAsia="Times New Roman" w:hAnsi="Times New Roman"/>
                <w:sz w:val="17"/>
                <w:szCs w:val="17"/>
                <w:color w:val="0000FF"/>
              </w:rPr>
              <w:t>06/12/2026</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520" w:type="dxa"/>
            <w:vAlign w:val="bottom"/>
            <w:gridSpan w:val="6"/>
            <w:vMerge w:val="continue"/>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20" w:type="dxa"/>
            <w:vAlign w:val="bottom"/>
            <w:tcBorders>
              <w:bottom w:val="single" w:sz="8" w:color="2C2C2C"/>
            </w:tcBorders>
            <w:gridSpan w:val="6"/>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98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36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92010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7"/>
          </w:tcPr>
          <w:p>
            <w:pPr>
              <w:ind w:left="10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020" w:type="dxa"/>
            <w:vAlign w:val="bottom"/>
            <w:tcBorders>
              <w:bottom w:val="single" w:sz="8" w:color="2C2C2C"/>
            </w:tcBorders>
            <w:gridSpan w:val="6"/>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700" w:type="dxa"/>
            <w:vAlign w:val="bottom"/>
            <w:tcBorders>
              <w:top w:val="single" w:sz="8" w:color="2C2C2C"/>
            </w:tcBorders>
            <w:gridSpan w:val="17"/>
          </w:tcPr>
          <w:p>
            <w:pPr>
              <w:ind w:left="2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900" w:type="dxa"/>
            <w:vAlign w:val="bottom"/>
            <w:tcBorders>
              <w:bottom w:val="single" w:sz="8" w:color="2C2C2C"/>
            </w:tcBorders>
            <w:gridSpan w:val="4"/>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5"/>
          </w:tcPr>
          <w:p>
            <w:pPr>
              <w:ind w:left="5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gridSpan w:val="5"/>
          </w:tcPr>
          <w:p>
            <w:pPr>
              <w:jc w:val="center"/>
              <w:ind w:left="40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3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20" w:type="dxa"/>
            <w:vAlign w:val="bottom"/>
            <w:gridSpan w:val="5"/>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06/12/2026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7,951</w:t>
            </w:r>
          </w:p>
        </w:tc>
        <w:tc>
          <w:tcPr>
            <w:tcW w:w="180" w:type="dxa"/>
            <w:vAlign w:val="bottom"/>
          </w:tcPr>
          <w:p>
            <w:pPr>
              <w:spacing w:after="0"/>
              <w:rPr>
                <w:sz w:val="22"/>
                <w:szCs w:val="22"/>
                <w:color w:val="auto"/>
              </w:rPr>
            </w:pPr>
          </w:p>
        </w:tc>
        <w:tc>
          <w:tcPr>
            <w:tcW w:w="38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0000FF"/>
                <w:w w:val="97"/>
              </w:rPr>
              <w:t>A</w:t>
            </w:r>
          </w:p>
        </w:tc>
        <w:tc>
          <w:tcPr>
            <w:tcW w:w="660" w:type="dxa"/>
            <w:vAlign w:val="bottom"/>
            <w:gridSpan w:val="2"/>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60.89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30,409</w:t>
            </w:r>
          </w:p>
        </w:tc>
        <w:tc>
          <w:tcPr>
            <w:tcW w:w="260" w:type="dxa"/>
            <w:vAlign w:val="bottom"/>
          </w:tcPr>
          <w:p>
            <w:pPr>
              <w:spacing w:after="0"/>
              <w:rPr>
                <w:sz w:val="22"/>
                <w:szCs w:val="22"/>
                <w:color w:val="auto"/>
              </w:rPr>
            </w:pPr>
          </w:p>
        </w:tc>
        <w:tc>
          <w:tcPr>
            <w:tcW w:w="66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20" w:type="dxa"/>
            <w:vAlign w:val="bottom"/>
            <w:gridSpan w:val="5"/>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06/12/2026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21,000</w:t>
            </w:r>
          </w:p>
        </w:tc>
        <w:tc>
          <w:tcPr>
            <w:tcW w:w="180" w:type="dxa"/>
            <w:vAlign w:val="bottom"/>
          </w:tcPr>
          <w:p>
            <w:pPr>
              <w:spacing w:after="0"/>
              <w:rPr>
                <w:sz w:val="22"/>
                <w:szCs w:val="22"/>
                <w:color w:val="auto"/>
              </w:rPr>
            </w:pPr>
          </w:p>
        </w:tc>
        <w:tc>
          <w:tcPr>
            <w:tcW w:w="38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0000FF"/>
                <w:w w:val="97"/>
              </w:rPr>
              <w:t>A</w:t>
            </w:r>
          </w:p>
        </w:tc>
        <w:tc>
          <w:tcPr>
            <w:tcW w:w="660" w:type="dxa"/>
            <w:vAlign w:val="bottom"/>
            <w:gridSpan w:val="2"/>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60.89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51,409</w:t>
            </w:r>
          </w:p>
        </w:tc>
        <w:tc>
          <w:tcPr>
            <w:tcW w:w="260" w:type="dxa"/>
            <w:vAlign w:val="bottom"/>
          </w:tcPr>
          <w:p>
            <w:pPr>
              <w:spacing w:after="0"/>
              <w:rPr>
                <w:sz w:val="22"/>
                <w:szCs w:val="22"/>
                <w:color w:val="auto"/>
              </w:rPr>
            </w:pPr>
          </w:p>
        </w:tc>
        <w:tc>
          <w:tcPr>
            <w:tcW w:w="66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20" w:type="dxa"/>
            <w:vAlign w:val="bottom"/>
            <w:gridSpan w:val="5"/>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06/12/2026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12,000</w:t>
            </w:r>
          </w:p>
        </w:tc>
        <w:tc>
          <w:tcPr>
            <w:tcW w:w="180" w:type="dxa"/>
            <w:vAlign w:val="bottom"/>
          </w:tcPr>
          <w:p>
            <w:pPr>
              <w:spacing w:after="0"/>
              <w:rPr>
                <w:sz w:val="22"/>
                <w:szCs w:val="22"/>
                <w:color w:val="auto"/>
              </w:rPr>
            </w:pPr>
          </w:p>
        </w:tc>
        <w:tc>
          <w:tcPr>
            <w:tcW w:w="38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0000FF"/>
                <w:w w:val="97"/>
              </w:rPr>
              <w:t>A</w:t>
            </w:r>
          </w:p>
        </w:tc>
        <w:tc>
          <w:tcPr>
            <w:tcW w:w="660" w:type="dxa"/>
            <w:vAlign w:val="bottom"/>
            <w:gridSpan w:val="2"/>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32.6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63,409</w:t>
            </w:r>
          </w:p>
        </w:tc>
        <w:tc>
          <w:tcPr>
            <w:tcW w:w="260" w:type="dxa"/>
            <w:vAlign w:val="bottom"/>
          </w:tcPr>
          <w:p>
            <w:pPr>
              <w:spacing w:after="0"/>
              <w:rPr>
                <w:sz w:val="22"/>
                <w:szCs w:val="22"/>
                <w:color w:val="auto"/>
              </w:rPr>
            </w:pPr>
          </w:p>
        </w:tc>
        <w:tc>
          <w:tcPr>
            <w:tcW w:w="66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20" w:type="dxa"/>
            <w:vAlign w:val="bottom"/>
            <w:gridSpan w:val="5"/>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06/12/2026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19,895</w:t>
            </w:r>
          </w:p>
        </w:tc>
        <w:tc>
          <w:tcPr>
            <w:tcW w:w="180" w:type="dxa"/>
            <w:vAlign w:val="bottom"/>
          </w:tcPr>
          <w:p>
            <w:pPr>
              <w:spacing w:after="0"/>
              <w:rPr>
                <w:sz w:val="22"/>
                <w:szCs w:val="22"/>
                <w:color w:val="auto"/>
              </w:rPr>
            </w:pPr>
          </w:p>
        </w:tc>
        <w:tc>
          <w:tcPr>
            <w:tcW w:w="38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0000FF"/>
                <w:w w:val="97"/>
              </w:rPr>
              <w:t>A</w:t>
            </w:r>
          </w:p>
        </w:tc>
        <w:tc>
          <w:tcPr>
            <w:tcW w:w="660" w:type="dxa"/>
            <w:vAlign w:val="bottom"/>
            <w:gridSpan w:val="2"/>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56.78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83,304</w:t>
            </w:r>
          </w:p>
        </w:tc>
        <w:tc>
          <w:tcPr>
            <w:tcW w:w="260" w:type="dxa"/>
            <w:vAlign w:val="bottom"/>
          </w:tcPr>
          <w:p>
            <w:pPr>
              <w:spacing w:after="0"/>
              <w:rPr>
                <w:sz w:val="22"/>
                <w:szCs w:val="22"/>
                <w:color w:val="auto"/>
              </w:rPr>
            </w:pPr>
          </w:p>
        </w:tc>
        <w:tc>
          <w:tcPr>
            <w:tcW w:w="66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5"/>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06/12/2026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41,004</w:t>
            </w:r>
            <w:r>
              <w:rPr>
                <w:rFonts w:ascii="Times New Roman" w:cs="Times New Roman" w:eastAsia="Times New Roman" w:hAnsi="Times New Roman"/>
                <w:sz w:val="21"/>
                <w:szCs w:val="21"/>
                <w:color w:val="008000"/>
                <w:w w:val="91"/>
                <w:vertAlign w:val="superscript"/>
              </w:rPr>
              <w:t>(1)</w:t>
            </w: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36"/>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73.0934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42,300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5"/>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06/12/2026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19,842</w:t>
            </w:r>
            <w:r>
              <w:rPr>
                <w:rFonts w:ascii="Times New Roman" w:cs="Times New Roman" w:eastAsia="Times New Roman" w:hAnsi="Times New Roman"/>
                <w:sz w:val="21"/>
                <w:szCs w:val="21"/>
                <w:color w:val="008000"/>
                <w:w w:val="91"/>
                <w:vertAlign w:val="superscript"/>
              </w:rPr>
              <w:t>(1)</w:t>
            </w: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36"/>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74.0503</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22,458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6700" w:type="dxa"/>
            <w:vAlign w:val="bottom"/>
            <w:tcBorders>
              <w:top w:val="single" w:sz="8" w:color="2C2C2C"/>
            </w:tcBorders>
            <w:gridSpan w:val="17"/>
          </w:tcPr>
          <w:p>
            <w:pPr>
              <w:ind w:lef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8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center"/>
              <w:ind w:right="53"/>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11"/>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53"/>
              <w:spacing w:after="0" w:line="129"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32.6</w:t>
            </w: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06/12/2026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rPr>
              <w:t>12,000</w:t>
            </w: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01/03/2023</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01/02/2032</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8"/>
              </w:rPr>
              <w:t>12,000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center"/>
              <w:ind w:right="17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20" w:type="dxa"/>
            <w:vAlign w:val="bottom"/>
          </w:tcPr>
          <w:p>
            <w:pPr>
              <w:jc w:val="center"/>
              <w:ind w:left="140"/>
              <w:spacing w:after="0"/>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56.78</w:t>
            </w: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06/12/2026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rPr>
              <w:t>19,895</w:t>
            </w: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01/04/2022</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01/03/2028</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8"/>
              </w:rPr>
              <w:t>19,895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center"/>
              <w:ind w:right="17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20" w:type="dxa"/>
            <w:vAlign w:val="bottom"/>
          </w:tcPr>
          <w:p>
            <w:pPr>
              <w:jc w:val="center"/>
              <w:ind w:left="140"/>
              <w:spacing w:after="0"/>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60.89</w:t>
            </w:r>
          </w:p>
        </w:tc>
        <w:tc>
          <w:tcPr>
            <w:tcW w:w="14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06/12/2026</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rPr>
              <w:t>7,951</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01/02/2021</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01/01/2027</w:t>
            </w:r>
          </w:p>
        </w:tc>
        <w:tc>
          <w:tcPr>
            <w:tcW w:w="5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7,951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center"/>
              <w:ind w:right="17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2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21,000</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60.89</w:t>
            </w: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06/12/2026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rPr>
              <w:t>21,000</w:t>
            </w: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01/02/2021</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01/01/2027</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8"/>
              </w:rPr>
              <w:t>21,000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center"/>
              <w:ind w:right="17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20" w:type="dxa"/>
            <w:vAlign w:val="bottom"/>
          </w:tcPr>
          <w:p>
            <w:pPr>
              <w:jc w:val="center"/>
              <w:ind w:left="140"/>
              <w:spacing w:after="0"/>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gridSpan w:val="2"/>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Rule 10b5-1 Trading Plan adopted by the reporting person on March 13, 2026</w:t>
      </w:r>
    </w:p>
    <w:p>
      <w:pPr>
        <w:spacing w:after="0" w:line="43"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$72.68 to $73.67 inclusive. The reporting person undertakes to provide to Ionis Pharmaceuticals, Inc. any security holder of Ionis Pharmaceuticals, Inc. or the staff of the Securities and Exchange Commission, upon request, full information regarding the number of shares sold at each separate price within the ranges set forth in footnote (2) on this Form 4.</w:t>
      </w:r>
    </w:p>
    <w:p>
      <w:pPr>
        <w:spacing w:after="0" w:line="26" w:lineRule="exact"/>
        <w:rPr>
          <w:rFonts w:ascii="Times New Roman" w:cs="Times New Roman" w:eastAsia="Times New Roman" w:hAnsi="Times New Roman"/>
          <w:sz w:val="13"/>
          <w:szCs w:val="13"/>
          <w:color w:val="008000"/>
        </w:rPr>
      </w:pPr>
    </w:p>
    <w:p>
      <w:pPr>
        <w:jc w:val="both"/>
        <w:ind w:left="40" w:right="260" w:firstLine="2"/>
        <w:spacing w:after="0" w:line="296"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$73.735 to $74.28 inclusive. The reporting person undertakes to provide to Ionis Pharmaceuticals, Inc. any security holder of Ionis Pharmaceuticals, Inc. or the staff of the Securities and Exchange Commission, upon request, full information regarding the number of shares sold at each</w:t>
      </w:r>
    </w:p>
    <w:p>
      <w:pPr>
        <w:sectPr>
          <w:pgSz w:w="11900" w:h="16954"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separate price within the ranges set forth in footnote (3) on this Form 4.</w:t>
      </w:r>
    </w:p>
    <w:p>
      <w:pPr>
        <w:ind w:left="6560"/>
        <w:spacing w:after="0" w:line="186" w:lineRule="auto"/>
        <w:rPr>
          <w:sz w:val="20"/>
          <w:szCs w:val="20"/>
          <w:color w:val="auto"/>
        </w:rPr>
      </w:pPr>
      <w:r>
        <w:rPr>
          <w:rFonts w:ascii="Times New Roman" w:cs="Times New Roman" w:eastAsia="Times New Roman" w:hAnsi="Times New Roman"/>
          <w:sz w:val="17"/>
          <w:szCs w:val="17"/>
          <w:color w:val="0000FF"/>
        </w:rPr>
        <w:t xml:space="preserve">By: Patrick R. O'Neil, attorney- </w:t>
      </w:r>
      <w:r>
        <w:rPr>
          <w:rFonts w:ascii="Times New Roman" w:cs="Times New Roman" w:eastAsia="Times New Roman" w:hAnsi="Times New Roman"/>
          <w:sz w:val="33"/>
          <w:szCs w:val="33"/>
          <w:color w:val="0000FF"/>
          <w:vertAlign w:val="subscript"/>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-27305</wp:posOffset>
            </wp:positionV>
            <wp:extent cx="1349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 For: Holly Kordasiewicz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710" cy="825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102721" TargetMode="External"/><Relationship Id="rId14" Type="http://schemas.openxmlformats.org/officeDocument/2006/relationships/hyperlink" Target="http://www.sec.gov/cgi-bin/browse-edgar?action=getcompany&amp;CIK=00008740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2026-06-16T16:29:02Z</dcterms:created>
  <dcterms:modified xsi:type="dcterms:W3CDTF">2026-06-16T16:29:02Z</dcterms:modified>
</cp:coreProperties>
</file>