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UNITED STATES</w:t>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SECURITIES AND EXCHANGE COMMISSION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0" w:after="0"/>
        <w:jc w:val="center"/>
        <w:rPr/>
      </w:pPr>
      <w:r>
        <w:rPr/>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FORM 10-K</w:t>
      </w:r>
    </w:p>
    <w:p>
      <w:pPr>
        <w:pStyle w:val="TextBody"/>
        <w:bidi w:val="0"/>
        <w:spacing w:before="0" w:after="0"/>
        <w:jc w:val="center"/>
        <w:rPr/>
      </w:pPr>
      <w:r>
        <w:rPr/>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2024</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For the transition period from ___________ to ___________</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Commission file number 000-19125</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Ionis Pharmaceuticals,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TextBody"/>
        <w:bidi w:val="0"/>
        <w:spacing w:before="0" w:after="0"/>
        <w:jc w:val="center"/>
        <w:rPr/>
      </w:pPr>
      <w:r>
        <w:rPr/>
      </w:r>
    </w:p>
    <w:tbl>
      <w:tblPr>
        <w:tblW w:w="7720" w:type="dxa"/>
        <w:jc w:val="left"/>
        <w:tblInd w:w="0" w:type="dxa"/>
        <w:tblLayout w:type="fixed"/>
        <w:tblCellMar>
          <w:top w:w="0" w:type="dxa"/>
          <w:left w:w="0" w:type="dxa"/>
          <w:bottom w:w="0" w:type="dxa"/>
          <w:right w:w="0" w:type="dxa"/>
        </w:tblCellMar>
      </w:tblPr>
      <w:tblGrid>
        <w:gridCol w:w="4880"/>
        <w:gridCol w:w="60"/>
        <w:gridCol w:w="2780"/>
      </w:tblGrid>
      <w:tr>
        <w:trPr/>
        <w:tc>
          <w:tcPr>
            <w:tcW w:w="48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33-0336973</w:t>
            </w:r>
          </w:p>
        </w:tc>
      </w:tr>
      <w:tr>
        <w:trPr/>
        <w:tc>
          <w:tcPr>
            <w:tcW w:w="488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center"/>
        <w:rPr/>
      </w:pPr>
      <w:r>
        <w:rPr/>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2855 Gazelle Court, Carlsbad, 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92010</w:t>
            </w:r>
          </w:p>
        </w:tc>
      </w:tr>
      <w:tr>
        <w:trPr/>
        <w:tc>
          <w:tcPr>
            <w:tcW w:w="327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760-931-9200</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(Registrant’s telephone number, including area code)</w:t>
      </w:r>
    </w:p>
    <w:p>
      <w:pPr>
        <w:pStyle w:val="TextBody"/>
        <w:bidi w:val="0"/>
        <w:spacing w:before="0" w:after="0"/>
        <w:jc w:val="left"/>
        <w:rPr/>
      </w:pPr>
      <w:r>
        <w:rPr/>
      </w:r>
    </w:p>
    <w:p>
      <w:pPr>
        <w:pStyle w:val="TextBody"/>
        <w:bidi w:val="0"/>
        <w:spacing w:before="120" w:after="120"/>
        <w:jc w:val="center"/>
        <w:rPr>
          <w:rFonts w:ascii="Times New Roman;Times;serif" w:hAnsi="Times New Roman;Times;serif"/>
          <w:b/>
          <w:color w:val="000000"/>
          <w:sz w:val="20"/>
        </w:rPr>
      </w:pPr>
      <w:r>
        <w:rPr>
          <w:rFonts w:ascii="Times New Roman;Times;serif" w:hAnsi="Times New Roman;Times;serif"/>
          <w:b/>
          <w:color w:val="000000"/>
          <w:sz w:val="20"/>
        </w:rPr>
        <w:t>Securities registered pursuant to Section 12(b) of the Act:</w:t>
      </w:r>
    </w:p>
    <w:tbl>
      <w:tblPr>
        <w:tblW w:w="7695" w:type="dxa"/>
        <w:jc w:val="left"/>
        <w:tblInd w:w="0" w:type="dxa"/>
        <w:tblLayout w:type="fixed"/>
        <w:tblCellMar>
          <w:top w:w="0" w:type="dxa"/>
          <w:left w:w="0" w:type="dxa"/>
          <w:bottom w:w="28" w:type="dxa"/>
          <w:right w:w="0" w:type="dxa"/>
        </w:tblCellMar>
      </w:tblPr>
      <w:tblGrid>
        <w:gridCol w:w="2675"/>
        <w:gridCol w:w="60"/>
        <w:gridCol w:w="1310"/>
        <w:gridCol w:w="60"/>
        <w:gridCol w:w="3590"/>
      </w:tblGrid>
      <w:tr>
        <w:trPr/>
        <w:tc>
          <w:tcPr>
            <w:tcW w:w="267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75"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op w:val="single" w:sz="12" w:space="0" w:color="000000"/>
            </w:tcBorders>
            <w:tcMar>
              <w:top w:w="28" w:type="dxa"/>
              <w:bottom w:w="0" w:type="dxa"/>
            </w:tcMar>
            <w:vAlign w:val="center"/>
          </w:tcPr>
          <w:p>
            <w:pPr>
              <w:pStyle w:val="TableContents"/>
              <w:bidi w:val="0"/>
              <w:spacing w:before="0" w:after="0"/>
              <w:jc w:val="center"/>
              <w:rPr/>
            </w:pPr>
            <w:r>
              <w:rPr/>
              <w:t>“</w:t>
            </w:r>
            <w:r>
              <w:rPr>
                <w:rFonts w:ascii="Times New Roman;Times;serif" w:hAnsi="Times New Roman;Times;serif"/>
                <w:sz w:val="20"/>
              </w:rPr>
              <w:t>IONS”</w:t>
            </w:r>
          </w:p>
        </w:tc>
        <w:tc>
          <w:tcPr>
            <w:tcW w:w="60" w:type="dxa"/>
            <w:tcBorders/>
            <w:tcMar>
              <w:bottom w:w="0" w:type="dxa"/>
            </w:tcMar>
            <w:vAlign w:val="center"/>
          </w:tcPr>
          <w:p>
            <w:pPr>
              <w:pStyle w:val="TableContents"/>
              <w:bidi w:val="0"/>
              <w:spacing w:before="0" w:after="283"/>
              <w:jc w:val="left"/>
              <w:rPr/>
            </w:pPr>
            <w:r>
              <w:rPr/>
              <w:t> </w:t>
            </w:r>
          </w:p>
        </w:tc>
        <w:tc>
          <w:tcPr>
            <w:tcW w:w="3590"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firstLine="36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Securities registered pursuant to Section 12(g) of the Act: </w:t>
      </w:r>
      <w:r>
        <w:rPr>
          <w:rFonts w:ascii="Times New Roman;Times;serif" w:hAnsi="Times New Roman;Times;serif"/>
          <w:b/>
          <w:color w:val="000000"/>
          <w:sz w:val="20"/>
        </w:rPr>
        <w:t>None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if the Registrant is not required to file reports pursuant to Section 13 or Section 15(d) of the Act.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center"/>
        <w:rPr/>
      </w:pPr>
      <w:r>
        <w:rPr/>
      </w:r>
    </w:p>
    <w:tbl>
      <w:tblPr>
        <w:tblW w:w="4795" w:type="dxa"/>
        <w:jc w:val="left"/>
        <w:tblInd w:w="0" w:type="dxa"/>
        <w:tblLayout w:type="fixed"/>
        <w:tblCellMar>
          <w:top w:w="0" w:type="dxa"/>
          <w:left w:w="0" w:type="dxa"/>
          <w:bottom w:w="0" w:type="dxa"/>
          <w:right w:w="0" w:type="dxa"/>
        </w:tblCellMar>
      </w:tblPr>
      <w:tblGrid>
        <w:gridCol w:w="2150"/>
        <w:gridCol w:w="60"/>
        <w:gridCol w:w="2585"/>
      </w:tblGrid>
      <w:tr>
        <w:trPr/>
        <w:tc>
          <w:tcPr>
            <w:tcW w:w="21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Large Accelerated Filer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Accelerated Filer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Non-accelerated Filer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has filed a report on and attestation to its management assessment of the effectiveness of its internal controls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4"/>
        </w:rPr>
      </w:pPr>
      <w:r>
        <w:rPr>
          <w:rFonts w:ascii="Times New Roman;Times;serif" w:hAnsi="Times New Roman;Times;serif"/>
          <w:color w:val="000000"/>
          <w:sz w:val="20"/>
        </w:rPr>
        <w:t xml:space="preserve">Indicate by check mark whether the Registrant is a shell company (as defined in Rule 12b-2 of the Act). Yes </w:t>
      </w:r>
      <w:r>
        <w:rPr>
          <w:rFonts w:ascii="Times New Roman;Times;serif" w:hAnsi="Times New Roman;Times;serif"/>
          <w:color w:val="000000"/>
          <w:sz w:val="24"/>
        </w:rPr>
        <w:t xml:space="preserve">☐  </w:t>
      </w:r>
      <w:r>
        <w:rPr>
          <w:rFonts w:ascii="Times New Roman;Times;serif" w:hAnsi="Times New Roman;Times;serif"/>
          <w:color w:val="000000"/>
          <w:sz w:val="20"/>
        </w:rPr>
        <w:t xml:space="preserve">No </w:t>
      </w:r>
      <w:r>
        <w:rPr>
          <w:rFonts w:ascii="Times New Roman;Times;serif" w:hAnsi="Times New Roman;Times;serif"/>
          <w:color w:val="000000"/>
          <w:sz w:val="24"/>
        </w:rPr>
        <w: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approximate aggregate market value of the voting common stock held by non-affiliates of the Registrant, based upon the last sale price of the common stock reported on The Nasdaq Global Select Market was $5,738,934,243 as of June 30, 2024.*</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number of shares of voting common stock outstanding as of February 13, 2025 was 158,964,772.</w:t>
      </w:r>
    </w:p>
    <w:p>
      <w:pPr>
        <w:pStyle w:val="TextBody"/>
        <w:bidi w:val="0"/>
        <w:spacing w:before="0" w:after="0"/>
        <w:jc w:val="left"/>
        <w:rPr/>
      </w:pPr>
      <w:r>
        <w:rPr/>
      </w:r>
    </w:p>
    <w:p>
      <w:pPr>
        <w:pStyle w:val="TextBody"/>
        <w:bidi w:val="0"/>
        <w:spacing w:before="0" w:after="0"/>
        <w:ind w:left="0" w:right="0" w:firstLine="360"/>
        <w:jc w:val="center"/>
        <w:rPr>
          <w:rFonts w:ascii="Times New Roman;Times;serif" w:hAnsi="Times New Roman;Times;serif"/>
          <w:b/>
          <w:color w:val="000000"/>
          <w:sz w:val="20"/>
        </w:rPr>
      </w:pPr>
      <w:r>
        <w:rPr>
          <w:rFonts w:ascii="Times New Roman;Times;serif" w:hAnsi="Times New Roman;Times;serif"/>
          <w:b/>
          <w:color w:val="000000"/>
          <w:sz w:val="20"/>
        </w:rPr>
        <w:t>DOCUMENTS INCORPORATED BY REFERENCE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Portions of the Registrant’s definitive Proxy Statement to be filed on or about April 25, 2025 with the Securities and Exchange Commission in connection with the Registrant’s annual meeting of stockholders to be held on June 5, 2025 are incorporated by reference into Part III of this Report.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Excludes 25,611,183 shares of common stock held by directors and officers and by stockholders whose beneficial ownership is known by the Registrant to exceed 10 percent of the common stock outstanding at June 30, 2024. Exclusion of shares held by any person should not be construed to indicate that such person possesses the power, direct or indirect, to direct or cause the direction of the management or policies of the Registrant, or that such person is controlled by or under common control with the Registrant.</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FORWARD-LOOKING STATEMENTS</w:t>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 xml:space="preserve">This report on Form 10-K and the information incorporated herein by reference includes forward-looking statements regarding our business and the therapeutic and commercial potential of our commercial medicines, additional medicines in development and technologies. Any statement describing our goals, expectations, financial or other projections, intentions or beliefs, is a forward-looking statement and should be considered an at-risk statement. Such statements are subject to certain risks and uncertainties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this report on Form 10-K, including those identified in Item 1A, </w:t>
      </w:r>
      <w:r>
        <w:rPr>
          <w:rFonts w:ascii="Times New Roman;Times;serif" w:hAnsi="Times New Roman;Times;serif"/>
          <w:b/>
          <w:i/>
          <w:color w:val="000000"/>
          <w:sz w:val="20"/>
        </w:rPr>
        <w:t>Risk Factors</w:t>
      </w:r>
      <w:r>
        <w:rPr>
          <w:rFonts w:ascii="Times New Roman;Times;serif" w:hAnsi="Times New Roman;Times;serif"/>
          <w:b/>
          <w:color w:val="000000"/>
          <w:sz w:val="20"/>
        </w:rPr>
        <w:t>. Although our forward-looking statements reflect the good faith judgment of our management, these statements are based only on facts and factors currently known by us. Except as required by law, we undertake no obligation to update any forward-looking statements for any reason. As a result, you are cautioned not to rely on these forward-looking statements.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this report, unless the context requires otherwise, “Ionis,” the “Company,” “we,” “our,” and “us” refers to Ionis Pharmaceuticals, Inc. and its subsidiaries.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Summary of Risk Factors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There are a number of risks related to our business and our securities.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in this report on Form 10-K in Item 1A, </w:t>
      </w:r>
      <w:r>
        <w:rPr>
          <w:rFonts w:ascii="Times New Roman;Times;serif" w:hAnsi="Times New Roman;Times;serif"/>
          <w:i/>
          <w:color w:val="000000"/>
          <w:sz w:val="20"/>
        </w:rPr>
        <w:t>Risk Factors</w:t>
      </w:r>
      <w:r>
        <w:rPr>
          <w:rFonts w:ascii="Times New Roman;Times;serif" w:hAnsi="Times New Roman;Times;serif"/>
          <w:color w:val="000000"/>
          <w:sz w:val="20"/>
        </w:rPr>
        <w:t>:</w:t>
      </w:r>
    </w:p>
    <w:p>
      <w:pPr>
        <w:pStyle w:val="TextBody"/>
        <w:bidi w:val="0"/>
        <w:spacing w:before="0" w:after="0"/>
        <w:jc w:val="left"/>
        <w:rPr/>
      </w:pPr>
      <w:r>
        <w:rPr/>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generate substantial revenue from the sale of our medicines;</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availability of adequate coverage and payment rates for our medicines;</w:t>
            </w:r>
          </w:p>
        </w:tc>
      </w:tr>
    </w:tbl>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and our partners’ ability to compete effectively;</w:t>
            </w:r>
          </w:p>
        </w:tc>
      </w:tr>
    </w:tbl>
    <w:tbl>
      <w:tblPr>
        <w:tblW w:w="4668" w:type="dxa"/>
        <w:jc w:val="left"/>
        <w:tblInd w:w="0" w:type="dxa"/>
        <w:tblLayout w:type="fixed"/>
        <w:tblCellMar>
          <w:top w:w="0" w:type="dxa"/>
          <w:left w:w="0" w:type="dxa"/>
          <w:bottom w:w="0" w:type="dxa"/>
          <w:right w:w="0" w:type="dxa"/>
        </w:tblCellMar>
      </w:tblPr>
      <w:tblGrid>
        <w:gridCol w:w="38"/>
        <w:gridCol w:w="17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successfully manufacture our medicines;</w:t>
            </w:r>
          </w:p>
        </w:tc>
      </w:tr>
    </w:tbl>
    <w:tbl>
      <w:tblPr>
        <w:tblW w:w="7218" w:type="dxa"/>
        <w:jc w:val="left"/>
        <w:tblInd w:w="0" w:type="dxa"/>
        <w:tblLayout w:type="fixed"/>
        <w:tblCellMar>
          <w:top w:w="0" w:type="dxa"/>
          <w:left w:w="0" w:type="dxa"/>
          <w:bottom w:w="0" w:type="dxa"/>
          <w:right w:w="0" w:type="dxa"/>
        </w:tblCellMar>
      </w:tblPr>
      <w:tblGrid>
        <w:gridCol w:w="38"/>
        <w:gridCol w:w="17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successfully develop and obtain marketing approvals for our medicines;</w:t>
            </w:r>
          </w:p>
        </w:tc>
      </w:tr>
    </w:tbl>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secure and maintain effective corporate partnerships;</w:t>
            </w:r>
          </w:p>
        </w:tc>
      </w:tr>
    </w:tbl>
    <w:tbl>
      <w:tblPr>
        <w:tblW w:w="5823" w:type="dxa"/>
        <w:jc w:val="left"/>
        <w:tblInd w:w="0" w:type="dxa"/>
        <w:tblLayout w:type="fixed"/>
        <w:tblCellMar>
          <w:top w:w="0" w:type="dxa"/>
          <w:left w:w="0" w:type="dxa"/>
          <w:bottom w:w="0" w:type="dxa"/>
          <w:right w:w="0" w:type="dxa"/>
        </w:tblCellMar>
      </w:tblPr>
      <w:tblGrid>
        <w:gridCol w:w="38"/>
        <w:gridCol w:w="17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sustain cash flows and achieve consistent profitability;</w:t>
            </w:r>
          </w:p>
        </w:tc>
      </w:tr>
    </w:tbl>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protect our intellectual property;</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ability to maintain the effectiveness of our personnel;</w:t>
            </w:r>
          </w:p>
        </w:tc>
      </w:tr>
    </w:tbl>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impacts of health epidemics, climate change, war and other global events; and</w:t>
            </w:r>
          </w:p>
        </w:tc>
      </w:tr>
    </w:tbl>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Our dependence upon our own and third-party information technology systems.</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color w:val="000000"/>
        </w:rPr>
      </w:pPr>
      <w:r>
        <w:rPr>
          <w:color w:val="000000"/>
        </w:rPr>
        <w:t>“</w:t>
      </w:r>
      <w:r>
        <w:rPr>
          <w:rFonts w:ascii="Times New Roman;Times;serif" w:hAnsi="Times New Roman;Times;serif"/>
          <w:color w:val="000000"/>
          <w:sz w:val="20"/>
        </w:rPr>
        <w:t>Ionis,” the Ionis logo, and other trademarks or service marks of Ionis Pharmaceuticals, Inc. appearing in this report are the property of Ionis Pharmaceuticals, Inc. “Akcea,” the Akcea logo, and other trademarks or service marks of Akcea Therapeutics, Inc. appearing in this report are the property of Akcea Therapeutics, Inc., Ionis’ wholly owned subsidiary. This report contains additional trade names, trademarks and service marks of others, which are the property of their respective owners. Solely for convenience, trademarks and trade names referred to in this report may appear without the ® or TM symbols.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CORPORATE INFORMATION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incorporated in California in 1989 and in January 1991 we changed our state of incorporation to Delaware. In December 2015, we changed our name to Ionis Pharmaceuticals, Inc. from Isis Pharmaceuticals, Inc. Our principal offices are in Carlsbad, California.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on our website, </w:t>
      </w:r>
      <w:r>
        <w:rPr>
          <w:rFonts w:ascii="Times New Roman;Times;serif" w:hAnsi="Times New Roman;Times;serif"/>
          <w:i/>
          <w:color w:val="000000"/>
          <w:sz w:val="20"/>
        </w:rPr>
        <w:t>www.ionis.com</w:t>
      </w:r>
      <w:r>
        <w:rPr>
          <w:rFonts w:ascii="Times New Roman;Times;serif" w:hAnsi="Times New Roman;Times;serif"/>
          <w:color w:val="000000"/>
          <w:sz w:val="20"/>
        </w:rPr>
        <w:t xml:space="preserve">, our reports on Forms 10-K, 10-Q, 8-K and amendments thereto, as soon as reasonably practicable after we file such materials with, or furnish such materials to, the Securities and Exchange Commission, or SEC. Periodically, we provide updates about the company in the Newsroom section of the Investors &amp; Media page of our website. Any information that we include on or link to our website is not a part of this report or any registration statement that incorporates this report by reference. The SEC maintains an internet site, </w:t>
      </w:r>
      <w:r>
        <w:rPr>
          <w:rFonts w:ascii="Times New Roman;Times;serif" w:hAnsi="Times New Roman;Times;serif"/>
          <w:i/>
          <w:color w:val="000000"/>
          <w:sz w:val="20"/>
        </w:rPr>
        <w:t>www.sec.gov</w:t>
      </w:r>
      <w:r>
        <w:rPr>
          <w:rFonts w:ascii="Times New Roman;Times;serif" w:hAnsi="Times New Roman;Times;serif"/>
          <w:color w:val="000000"/>
          <w:sz w:val="20"/>
        </w:rPr>
        <w:t>, that contains reports, proxy and information statements, and other information that we file electronically with the SEC.</w:t>
      </w:r>
    </w:p>
    <w:p>
      <w:pPr>
        <w:pStyle w:val="HorizontalLine"/>
        <w:bidi w:val="0"/>
        <w:spacing w:before="200" w:after="200"/>
        <w:jc w:val="left"/>
        <w:rPr/>
      </w:pPr>
      <w:r>
        <w:rPr/>
      </w:r>
    </w:p>
    <w:p>
      <w:pPr>
        <w:pStyle w:val="TextBody"/>
        <w:bidi w:val="0"/>
        <w:spacing w:before="0" w:after="0"/>
        <w:jc w:val="left"/>
        <w:rPr/>
      </w:pPr>
      <w:r>
        <w:rPr/>
      </w:r>
      <w:bookmarkStart w:id="0" w:name="TOC"/>
      <w:bookmarkStart w:id="1" w:name="TOC"/>
      <w:bookmarkEnd w:id="1"/>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FORM 10-K</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For the Fiscal Year Ended December 31, 2024</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90"/>
        <w:gridCol w:w="8860"/>
        <w:gridCol w:w="455"/>
      </w:tblGrid>
      <w:tr>
        <w:trPr/>
        <w:tc>
          <w:tcPr>
            <w:tcW w:w="890" w:type="dxa"/>
            <w:tcBorders/>
            <w:vAlign w:val="center"/>
          </w:tcPr>
          <w:p>
            <w:pPr>
              <w:pStyle w:val="TableContents"/>
              <w:bidi w:val="0"/>
              <w:spacing w:before="0" w:after="0"/>
              <w:jc w:val="left"/>
              <w:rPr/>
            </w:pPr>
            <w:hyperlink w:anchor="PARTI">
              <w:r>
                <w:rPr>
                  <w:rStyle w:val="InternetLink"/>
                  <w:rFonts w:ascii="Times New Roman;Times;serif" w:hAnsi="Times New Roman;Times;serif"/>
                  <w:b/>
                  <w:sz w:val="20"/>
                  <w:u w:val="single"/>
                </w:rPr>
                <w:t>PART I</w:t>
              </w:r>
            </w:hyperlink>
          </w:p>
        </w:tc>
        <w:tc>
          <w:tcPr>
            <w:tcW w:w="88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t> </w:t>
            </w:r>
          </w:p>
        </w:tc>
        <w:tc>
          <w:tcPr>
            <w:tcW w:w="88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w:t>
            </w:r>
          </w:p>
        </w:tc>
        <w:tc>
          <w:tcPr>
            <w:tcW w:w="8860" w:type="dxa"/>
            <w:tcBorders/>
            <w:shd w:fill="CCEEFF" w:val="clear"/>
            <w:vAlign w:val="center"/>
          </w:tcPr>
          <w:p>
            <w:pPr>
              <w:pStyle w:val="TableContents"/>
              <w:bidi w:val="0"/>
              <w:spacing w:before="0" w:after="0"/>
              <w:jc w:val="left"/>
              <w:rPr/>
            </w:pPr>
            <w:hyperlink w:anchor="Item1">
              <w:r>
                <w:rPr>
                  <w:rStyle w:val="InternetLink"/>
                  <w:rFonts w:ascii="Times New Roman;Times;serif" w:hAnsi="Times New Roman;Times;serif"/>
                  <w:sz w:val="20"/>
                </w:rPr>
                <w:t>Business</w:t>
              </w:r>
            </w:hyperlink>
          </w:p>
        </w:tc>
        <w:tc>
          <w:tcPr>
            <w:tcW w:w="455"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1A.</w:t>
            </w:r>
          </w:p>
        </w:tc>
        <w:tc>
          <w:tcPr>
            <w:tcW w:w="8860" w:type="dxa"/>
            <w:tcBorders/>
            <w:shd w:fill="FFFFFF" w:val="clear"/>
            <w:vAlign w:val="center"/>
          </w:tcPr>
          <w:p>
            <w:pPr>
              <w:pStyle w:val="TableContents"/>
              <w:bidi w:val="0"/>
              <w:spacing w:before="0" w:after="0"/>
              <w:jc w:val="left"/>
              <w:rPr/>
            </w:pPr>
            <w:hyperlink w:anchor="Item1A">
              <w:r>
                <w:rPr>
                  <w:rStyle w:val="InternetLink"/>
                  <w:rFonts w:ascii="Times New Roman;Times;serif" w:hAnsi="Times New Roman;Times;serif"/>
                  <w:sz w:val="20"/>
                </w:rPr>
                <w:t>Risk Factors</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40</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1B.</w:t>
            </w:r>
          </w:p>
        </w:tc>
        <w:tc>
          <w:tcPr>
            <w:tcW w:w="8860" w:type="dxa"/>
            <w:tcBorders/>
            <w:shd w:fill="CCEEFF" w:val="clear"/>
            <w:vAlign w:val="center"/>
          </w:tcPr>
          <w:p>
            <w:pPr>
              <w:pStyle w:val="TableContents"/>
              <w:bidi w:val="0"/>
              <w:spacing w:before="0" w:after="0"/>
              <w:jc w:val="left"/>
              <w:rPr/>
            </w:pPr>
            <w:hyperlink w:anchor="Item1B">
              <w:r>
                <w:rPr>
                  <w:rStyle w:val="InternetLink"/>
                  <w:rFonts w:ascii="Times New Roman;Times;serif" w:hAnsi="Times New Roman;Times;serif"/>
                  <w:sz w:val="20"/>
                </w:rPr>
                <w:t>Unresolved Staff Comments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57</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1C.</w:t>
            </w:r>
          </w:p>
        </w:tc>
        <w:tc>
          <w:tcPr>
            <w:tcW w:w="8860" w:type="dxa"/>
            <w:tcBorders/>
            <w:shd w:fill="FFFFFF" w:val="clear"/>
            <w:vAlign w:val="center"/>
          </w:tcPr>
          <w:p>
            <w:pPr>
              <w:pStyle w:val="TableContents"/>
              <w:bidi w:val="0"/>
              <w:spacing w:before="0" w:after="0"/>
              <w:jc w:val="left"/>
              <w:rPr/>
            </w:pPr>
            <w:hyperlink w:anchor="Item1C">
              <w:r>
                <w:rPr>
                  <w:rStyle w:val="InternetLink"/>
                  <w:rFonts w:ascii="Times New Roman;Times;serif" w:hAnsi="Times New Roman;Times;serif"/>
                  <w:sz w:val="20"/>
                </w:rPr>
                <w:t>Cybersecurity</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57</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2.</w:t>
            </w:r>
          </w:p>
        </w:tc>
        <w:tc>
          <w:tcPr>
            <w:tcW w:w="8860" w:type="dxa"/>
            <w:tcBorders/>
            <w:shd w:fill="CCEEFF" w:val="clear"/>
            <w:vAlign w:val="center"/>
          </w:tcPr>
          <w:p>
            <w:pPr>
              <w:pStyle w:val="TableContents"/>
              <w:bidi w:val="0"/>
              <w:spacing w:before="0" w:after="0"/>
              <w:jc w:val="left"/>
              <w:rPr/>
            </w:pPr>
            <w:hyperlink w:anchor="Item2">
              <w:r>
                <w:rPr>
                  <w:rStyle w:val="InternetLink"/>
                  <w:rFonts w:ascii="Times New Roman;Times;serif" w:hAnsi="Times New Roman;Times;serif"/>
                  <w:sz w:val="20"/>
                </w:rPr>
                <w:t>Properties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3.</w:t>
            </w:r>
          </w:p>
        </w:tc>
        <w:tc>
          <w:tcPr>
            <w:tcW w:w="8860" w:type="dxa"/>
            <w:tcBorders/>
            <w:shd w:fill="FFFFFF" w:val="clear"/>
            <w:vAlign w:val="center"/>
          </w:tcPr>
          <w:p>
            <w:pPr>
              <w:pStyle w:val="TableContents"/>
              <w:bidi w:val="0"/>
              <w:spacing w:before="0" w:after="0"/>
              <w:jc w:val="left"/>
              <w:rPr/>
            </w:pPr>
            <w:hyperlink w:anchor="Item3">
              <w:r>
                <w:rPr>
                  <w:rStyle w:val="InternetLink"/>
                  <w:rFonts w:ascii="Times New Roman;Times;serif" w:hAnsi="Times New Roman;Times;serif"/>
                  <w:sz w:val="20"/>
                </w:rPr>
                <w:t>Legal Proceedings</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4.</w:t>
            </w:r>
          </w:p>
        </w:tc>
        <w:tc>
          <w:tcPr>
            <w:tcW w:w="8860" w:type="dxa"/>
            <w:tcBorders/>
            <w:shd w:fill="CCEEFF" w:val="clear"/>
            <w:vAlign w:val="center"/>
          </w:tcPr>
          <w:p>
            <w:pPr>
              <w:pStyle w:val="TableContents"/>
              <w:bidi w:val="0"/>
              <w:spacing w:before="0" w:after="0"/>
              <w:jc w:val="left"/>
              <w:rPr/>
            </w:pPr>
            <w:hyperlink w:anchor="Item4">
              <w:r>
                <w:rPr>
                  <w:rStyle w:val="InternetLink"/>
                  <w:rFonts w:ascii="Times New Roman;Times;serif" w:hAnsi="Times New Roman;Times;serif"/>
                  <w:sz w:val="20"/>
                </w:rPr>
                <w:t>Mine Safety Disclosures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I">
              <w:r>
                <w:rPr>
                  <w:rStyle w:val="InternetLink"/>
                  <w:rFonts w:ascii="Times New Roman;Times;serif" w:hAnsi="Times New Roman;Times;serif"/>
                  <w:b/>
                  <w:sz w:val="20"/>
                </w:rPr>
                <w:t>PART II</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5.</w:t>
            </w:r>
          </w:p>
        </w:tc>
        <w:tc>
          <w:tcPr>
            <w:tcW w:w="8860" w:type="dxa"/>
            <w:tcBorders/>
            <w:shd w:fill="CCEEFF" w:val="clear"/>
            <w:vAlign w:val="center"/>
          </w:tcPr>
          <w:p>
            <w:pPr>
              <w:pStyle w:val="TableContents"/>
              <w:bidi w:val="0"/>
              <w:spacing w:before="0" w:after="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6.</w:t>
            </w:r>
          </w:p>
        </w:tc>
        <w:tc>
          <w:tcPr>
            <w:tcW w:w="8860" w:type="dxa"/>
            <w:tcBorders/>
            <w:shd w:fill="FFFFFF" w:val="clear"/>
            <w:vAlign w:val="center"/>
          </w:tcPr>
          <w:p>
            <w:pPr>
              <w:pStyle w:val="TableContents"/>
              <w:bidi w:val="0"/>
              <w:spacing w:before="0" w:after="0"/>
              <w:jc w:val="left"/>
              <w:rPr/>
            </w:pPr>
            <w:hyperlink w:anchor="Item6">
              <w:r>
                <w:rPr>
                  <w:rStyle w:val="InternetLink"/>
                  <w:rFonts w:ascii="Times New Roman;Times;serif" w:hAnsi="Times New Roman;Times;serif"/>
                  <w:sz w:val="20"/>
                </w:rPr>
                <w:t>Reserved</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61</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7.</w:t>
            </w:r>
          </w:p>
        </w:tc>
        <w:tc>
          <w:tcPr>
            <w:tcW w:w="8860" w:type="dxa"/>
            <w:tcBorders/>
            <w:shd w:fill="CCEEFF" w:val="clear"/>
            <w:vAlign w:val="center"/>
          </w:tcPr>
          <w:p>
            <w:pPr>
              <w:pStyle w:val="TableContents"/>
              <w:bidi w:val="0"/>
              <w:spacing w:before="0" w:after="0"/>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61</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7A.</w:t>
            </w:r>
          </w:p>
        </w:tc>
        <w:tc>
          <w:tcPr>
            <w:tcW w:w="8860" w:type="dxa"/>
            <w:tcBorders/>
            <w:shd w:fill="FFFFFF" w:val="clear"/>
            <w:vAlign w:val="center"/>
          </w:tcPr>
          <w:p>
            <w:pPr>
              <w:pStyle w:val="TableContents"/>
              <w:bidi w:val="0"/>
              <w:spacing w:before="0" w:after="0"/>
              <w:jc w:val="left"/>
              <w:rPr/>
            </w:pPr>
            <w:hyperlink w:anchor="Item7A">
              <w:r>
                <w:rPr>
                  <w:rStyle w:val="InternetLink"/>
                  <w:rFonts w:ascii="Times New Roman;Times;serif" w:hAnsi="Times New Roman;Times;serif"/>
                  <w:sz w:val="20"/>
                </w:rPr>
                <w:t>Quantitative and Qualitative Disclosures About Market Risk</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71</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8.</w:t>
            </w:r>
          </w:p>
        </w:tc>
        <w:tc>
          <w:tcPr>
            <w:tcW w:w="8860" w:type="dxa"/>
            <w:tcBorders/>
            <w:shd w:fill="CCEEFF" w:val="clear"/>
            <w:vAlign w:val="center"/>
          </w:tcPr>
          <w:p>
            <w:pPr>
              <w:pStyle w:val="TableContents"/>
              <w:bidi w:val="0"/>
              <w:spacing w:before="0" w:after="0"/>
              <w:jc w:val="left"/>
              <w:rPr/>
            </w:pPr>
            <w:hyperlink w:anchor="Item8">
              <w:r>
                <w:rPr>
                  <w:rStyle w:val="InternetLink"/>
                  <w:rFonts w:ascii="Times New Roman;Times;serif" w:hAnsi="Times New Roman;Times;serif"/>
                  <w:sz w:val="20"/>
                </w:rPr>
                <w:t>Financial Statements and Supplementary Data</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71</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w:t>
            </w:r>
          </w:p>
        </w:tc>
        <w:tc>
          <w:tcPr>
            <w:tcW w:w="8860" w:type="dxa"/>
            <w:tcBorders/>
            <w:shd w:fill="FFFFFF" w:val="clear"/>
            <w:vAlign w:val="center"/>
          </w:tcPr>
          <w:p>
            <w:pPr>
              <w:pStyle w:val="TableContents"/>
              <w:bidi w:val="0"/>
              <w:spacing w:before="0" w:after="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72</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9A.</w:t>
            </w:r>
          </w:p>
        </w:tc>
        <w:tc>
          <w:tcPr>
            <w:tcW w:w="8860" w:type="dxa"/>
            <w:tcBorders/>
            <w:shd w:fill="CCEEFF" w:val="clear"/>
            <w:vAlign w:val="center"/>
          </w:tcPr>
          <w:p>
            <w:pPr>
              <w:pStyle w:val="TableContents"/>
              <w:bidi w:val="0"/>
              <w:spacing w:before="0" w:after="0"/>
              <w:jc w:val="left"/>
              <w:rPr/>
            </w:pPr>
            <w:hyperlink w:anchor="Item9A">
              <w:r>
                <w:rPr>
                  <w:rStyle w:val="InternetLink"/>
                  <w:rFonts w:ascii="Times New Roman;Times;serif" w:hAnsi="Times New Roman;Times;serif"/>
                  <w:sz w:val="20"/>
                </w:rPr>
                <w:t>Controls and Procedures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72</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9B.</w:t>
            </w:r>
          </w:p>
        </w:tc>
        <w:tc>
          <w:tcPr>
            <w:tcW w:w="8860" w:type="dxa"/>
            <w:tcBorders/>
            <w:shd w:fill="FFFFFF" w:val="clear"/>
            <w:vAlign w:val="center"/>
          </w:tcPr>
          <w:p>
            <w:pPr>
              <w:pStyle w:val="TableContents"/>
              <w:bidi w:val="0"/>
              <w:spacing w:before="0" w:after="0"/>
              <w:jc w:val="left"/>
              <w:rPr/>
            </w:pPr>
            <w:hyperlink w:anchor="Item9B">
              <w:r>
                <w:rPr>
                  <w:rStyle w:val="InternetLink"/>
                  <w:rFonts w:ascii="Times New Roman;Times;serif" w:hAnsi="Times New Roman;Times;serif"/>
                  <w:sz w:val="20"/>
                </w:rPr>
                <w:t>Other Information</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74</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9C.</w:t>
            </w:r>
          </w:p>
        </w:tc>
        <w:tc>
          <w:tcPr>
            <w:tcW w:w="8860" w:type="dxa"/>
            <w:tcBorders/>
            <w:shd w:fill="CCEEFF" w:val="clear"/>
            <w:vAlign w:val="center"/>
          </w:tcPr>
          <w:p>
            <w:pPr>
              <w:pStyle w:val="TableContents"/>
              <w:bidi w:val="0"/>
              <w:spacing w:before="0" w:after="0"/>
              <w:jc w:val="left"/>
              <w:rPr/>
            </w:pPr>
            <w:hyperlink w:anchor="Item9C">
              <w:r>
                <w:rPr>
                  <w:rStyle w:val="InternetLink"/>
                  <w:rFonts w:ascii="Times New Roman;Times;serif" w:hAnsi="Times New Roman;Times;serif"/>
                  <w:sz w:val="20"/>
                </w:rPr>
                <w:t>Disclosure Regarding Foreign Jurisdictions that Prevent Inspections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74</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II">
              <w:r>
                <w:rPr>
                  <w:rStyle w:val="InternetLink"/>
                  <w:rFonts w:ascii="Times New Roman;Times;serif" w:hAnsi="Times New Roman;Times;serif"/>
                  <w:b/>
                  <w:sz w:val="20"/>
                </w:rPr>
                <w:t>PART III</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10.</w:t>
            </w:r>
          </w:p>
        </w:tc>
        <w:tc>
          <w:tcPr>
            <w:tcW w:w="8860" w:type="dxa"/>
            <w:tcBorders/>
            <w:shd w:fill="CCEEFF" w:val="clear"/>
            <w:vAlign w:val="center"/>
          </w:tcPr>
          <w:p>
            <w:pPr>
              <w:pStyle w:val="TableContents"/>
              <w:bidi w:val="0"/>
              <w:spacing w:before="0" w:after="0"/>
              <w:jc w:val="left"/>
              <w:rPr/>
            </w:pPr>
            <w:hyperlink w:anchor="Item10">
              <w:r>
                <w:rPr>
                  <w:rStyle w:val="InternetLink"/>
                  <w:rFonts w:ascii="Times New Roman;Times;serif" w:hAnsi="Times New Roman;Times;serif"/>
                  <w:sz w:val="20"/>
                </w:rPr>
                <w:t>Directors, Executive Officers and Corporate Governance</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74</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11.</w:t>
            </w:r>
          </w:p>
        </w:tc>
        <w:tc>
          <w:tcPr>
            <w:tcW w:w="8860" w:type="dxa"/>
            <w:tcBorders/>
            <w:shd w:fill="FFFFFF" w:val="clear"/>
            <w:vAlign w:val="center"/>
          </w:tcPr>
          <w:p>
            <w:pPr>
              <w:pStyle w:val="TableContents"/>
              <w:bidi w:val="0"/>
              <w:spacing w:before="0" w:after="0"/>
              <w:jc w:val="left"/>
              <w:rPr/>
            </w:pPr>
            <w:hyperlink w:anchor="Item11">
              <w:r>
                <w:rPr>
                  <w:rStyle w:val="InternetLink"/>
                  <w:rFonts w:ascii="Times New Roman;Times;serif" w:hAnsi="Times New Roman;Times;serif"/>
                  <w:sz w:val="20"/>
                </w:rPr>
                <w:t>Executive Compensation</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12.</w:t>
            </w:r>
          </w:p>
        </w:tc>
        <w:tc>
          <w:tcPr>
            <w:tcW w:w="8860" w:type="dxa"/>
            <w:tcBorders/>
            <w:shd w:fill="CCEEFF" w:val="clear"/>
            <w:vAlign w:val="center"/>
          </w:tcPr>
          <w:p>
            <w:pPr>
              <w:pStyle w:val="TableContents"/>
              <w:bidi w:val="0"/>
              <w:spacing w:before="0" w:after="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r>
        <w:trPr/>
        <w:tc>
          <w:tcPr>
            <w:tcW w:w="89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13.</w:t>
            </w:r>
          </w:p>
        </w:tc>
        <w:tc>
          <w:tcPr>
            <w:tcW w:w="8860" w:type="dxa"/>
            <w:tcBorders/>
            <w:shd w:fill="FFFFFF" w:val="clear"/>
            <w:vAlign w:val="center"/>
          </w:tcPr>
          <w:p>
            <w:pPr>
              <w:pStyle w:val="TableContents"/>
              <w:bidi w:val="0"/>
              <w:spacing w:before="0" w:after="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14.</w:t>
            </w:r>
          </w:p>
        </w:tc>
        <w:tc>
          <w:tcPr>
            <w:tcW w:w="8860" w:type="dxa"/>
            <w:tcBorders/>
            <w:shd w:fill="CCEEFF" w:val="clear"/>
            <w:vAlign w:val="center"/>
          </w:tcPr>
          <w:p>
            <w:pPr>
              <w:pStyle w:val="TableContents"/>
              <w:bidi w:val="0"/>
              <w:spacing w:before="0" w:after="0"/>
              <w:jc w:val="left"/>
              <w:rPr/>
            </w:pPr>
            <w:hyperlink w:anchor="Item14">
              <w:r>
                <w:rPr>
                  <w:rStyle w:val="InternetLink"/>
                  <w:rFonts w:ascii="Times New Roman;Times;serif" w:hAnsi="Times New Roman;Times;serif"/>
                  <w:sz w:val="20"/>
                </w:rPr>
                <w:t>Principal Accountant Fees and Services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PARTIV">
              <w:r>
                <w:rPr>
                  <w:rStyle w:val="InternetLink"/>
                  <w:rFonts w:ascii="Times New Roman;Times;serif" w:hAnsi="Times New Roman;Times;serif"/>
                  <w:b/>
                  <w:sz w:val="20"/>
                </w:rPr>
                <w:t>PART IV</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Item 15.</w:t>
            </w:r>
          </w:p>
        </w:tc>
        <w:tc>
          <w:tcPr>
            <w:tcW w:w="8860" w:type="dxa"/>
            <w:tcBorders/>
            <w:shd w:fill="CCEEFF" w:val="clear"/>
            <w:vAlign w:val="center"/>
          </w:tcPr>
          <w:p>
            <w:pPr>
              <w:pStyle w:val="TableContents"/>
              <w:bidi w:val="0"/>
              <w:spacing w:before="0" w:after="0"/>
              <w:jc w:val="left"/>
              <w:rPr/>
            </w:pPr>
            <w:hyperlink w:anchor="Item15">
              <w:r>
                <w:rPr>
                  <w:rStyle w:val="InternetLink"/>
                  <w:rFonts w:ascii="Times New Roman;Times;serif" w:hAnsi="Times New Roman;Times;serif"/>
                  <w:sz w:val="20"/>
                </w:rPr>
                <w:t>Exhibits, Financial Statement Schedules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w:t>
            </w:r>
          </w:p>
        </w:tc>
      </w:tr>
      <w:tr>
        <w:trPr/>
        <w:tc>
          <w:tcPr>
            <w:tcW w:w="890" w:type="dxa"/>
            <w:tcBorders/>
            <w:shd w:fill="FFFFFF" w:val="clear"/>
            <w:vAlign w:val="center"/>
          </w:tcPr>
          <w:p>
            <w:pPr>
              <w:pStyle w:val="TableContents"/>
              <w:bidi w:val="0"/>
              <w:spacing w:before="0" w:after="283"/>
              <w:jc w:val="left"/>
              <w:rPr/>
            </w:pPr>
            <w:r>
              <w:rPr/>
              <w:t> </w:t>
            </w:r>
          </w:p>
        </w:tc>
        <w:tc>
          <w:tcPr>
            <w:tcW w:w="88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jc w:val="left"/>
              <w:rPr/>
            </w:pPr>
            <w:hyperlink w:anchor="Signatures">
              <w:r>
                <w:rPr>
                  <w:rStyle w:val="InternetLink"/>
                  <w:rFonts w:ascii="Times New Roman;Times;serif" w:hAnsi="Times New Roman;Times;serif"/>
                  <w:sz w:val="20"/>
                </w:rPr>
                <w:t>Signatures</w:t>
              </w:r>
            </w:hyperlink>
          </w:p>
        </w:tc>
        <w:tc>
          <w:tcPr>
            <w:tcW w:w="88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PART I</w:t>
      </w:r>
      <w:bookmarkStart w:id="2" w:name="PARTI"/>
      <w:bookmarkEnd w:id="2"/>
    </w:p>
    <w:p>
      <w:pPr>
        <w:pStyle w:val="TextBody"/>
        <w:bidi w:val="0"/>
        <w:spacing w:before="0" w:after="0"/>
        <w:jc w:val="both"/>
        <w:rPr>
          <w:rFonts w:ascii="Times New Roman;Times;serif" w:hAnsi="Times New Roman;Times;serif"/>
          <w:b/>
          <w:color w:val="000000"/>
          <w:sz w:val="20"/>
        </w:rPr>
      </w:pPr>
      <w:bookmarkStart w:id="3" w:name="Item1"/>
      <w:bookmarkEnd w:id="3"/>
      <w:r>
        <w:rPr>
          <w:rFonts w:ascii="Times New Roman;Times;serif" w:hAnsi="Times New Roman;Times;serif"/>
          <w:b/>
          <w:color w:val="000000"/>
          <w:sz w:val="20"/>
        </w:rPr>
        <w:t>Item 1. Business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three decades, we have invented medicines that bring better futures to people with serious diseases. As a pioneer in RNA-targeted medicines with a deep understanding of disease biology and an industry-leading drug discovery technology, we are driven to deliver innovative, life-changing advances for patients.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last year, we delivered on our strategy to create accelerating value for all our stakeholders. With our commercial launch of TRYNGOLZA (olezarsen) in the United States, or U.S., following its approval by the U.S. Food and Drug Administration, or FDA, we began a new chapter as a fully integrated commercial-stage biotechnology company. We currently have six marketed medicines to treat serious diseases: TRYNGOLZA, WAINUA (eplontersen), SPINRAZA (nusinersen), QALSODY (tofersen), TEGSEDI (inotersen) and WAYLIVRA (volanesorsen).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Marketed Medicines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00"/>
              <w:ind w:left="1080" w:right="0" w:hanging="0"/>
              <w:jc w:val="left"/>
              <w:rPr/>
            </w:pPr>
            <w:r>
              <w:rPr/>
              <w:t>•</w:t>
            </w:r>
          </w:p>
        </w:tc>
        <w:tc>
          <w:tcPr>
            <w:tcW w:w="100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TRYNGOLZA is approved in the U.S. as an adjunct to diet to reduce triglycerides in adults with familial chylomicronemia syndrome, or FCS. TRYNGOLZA is the first-ever FDA-approved treatment that significantly and substantially reduces triglyceride levels in adults with FCS and provides clinically meaningful reduction in acute pancreatitis, or AP, events when used with an appropriate diet (≤20 grams of fat per day). TRYNGOLZA is the first medicine we are commercializing independently in the U.S.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00"/>
              <w:ind w:left="1080" w:right="0" w:hanging="0"/>
              <w:jc w:val="left"/>
              <w:rPr/>
            </w:pPr>
            <w:r>
              <w:rPr/>
              <w:t>•</w:t>
            </w:r>
          </w:p>
        </w:tc>
        <w:tc>
          <w:tcPr>
            <w:tcW w:w="100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WAINUA is approved in numerous countries, including the U.S. and United Kingdom, or UK, for the treatment of the polyneuropathy of hereditary transthyretin-medicated amyloidosis, or ATTRv-PN, in adults. WAINUA is the only approved medicine for the treatment of ATTRv-PN that can be self-administered via an auto-injector. We and AstraZeneca are co-developing WAINUA globally and co-commercializing WAINUA in the U.S. AstraZeneca has exclusive rights to commercialize WAINUA outside of the U.S.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00"/>
              <w:ind w:left="1080" w:right="0" w:hanging="0"/>
              <w:jc w:val="left"/>
              <w:rPr/>
            </w:pPr>
            <w:r>
              <w:rPr/>
              <w:t>•</w:t>
            </w:r>
          </w:p>
        </w:tc>
        <w:tc>
          <w:tcPr>
            <w:tcW w:w="100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SPINRAZA is a global market leader for the treatment of pediatric and adult patients with spinal muscular atrophy, or SMA. Our partner, Biogen, is responsible for commercializing SPINRAZA worldwide.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00"/>
              <w:ind w:left="1080" w:right="0" w:hanging="0"/>
              <w:jc w:val="left"/>
              <w:rPr/>
            </w:pPr>
            <w:r>
              <w:rPr/>
              <w:t>•</w:t>
            </w:r>
          </w:p>
        </w:tc>
        <w:tc>
          <w:tcPr>
            <w:tcW w:w="100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QALSODY is approved in the U.S., European Union, or EU, China and Japan for the treatment of Amyotrophic Lateral Sclerosis, or ALS, in adults who have a mutation in the superoxide dismutase 1, or SOD1, gene, or SOD1-ALS. QALSODY received accelerated approval from the FDA and marketing authorization under exceptional circumstances from the European Medicines Agency, or EMA. QALSODY was the first treatment approved to target a genetic cause of ALS. Our partner, Biogen, is responsible for commercializing QALSODY worldwide.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00"/>
              <w:ind w:left="1080" w:right="0" w:hanging="0"/>
              <w:jc w:val="left"/>
              <w:rPr/>
            </w:pPr>
            <w:r>
              <w:rPr/>
              <w:t>•</w:t>
            </w:r>
          </w:p>
        </w:tc>
        <w:tc>
          <w:tcPr>
            <w:tcW w:w="10080" w:type="dxa"/>
            <w:tcBorders/>
            <w:vAlign w:val="center"/>
          </w:tcPr>
          <w:p>
            <w:pPr>
              <w:pStyle w:val="TableContents"/>
              <w:bidi w:val="0"/>
              <w:spacing w:before="0" w:after="200"/>
              <w:jc w:val="both"/>
              <w:rPr>
                <w:rFonts w:ascii="Times New Roman;Times;serif" w:hAnsi="Times New Roman;Times;serif"/>
                <w:sz w:val="20"/>
              </w:rPr>
            </w:pPr>
            <w:r>
              <w:rPr>
                <w:rFonts w:ascii="Times New Roman;Times;serif" w:hAnsi="Times New Roman;Times;serif"/>
                <w:sz w:val="20"/>
              </w:rPr>
              <w:t>TEGSEDI is approved in the EU, Canada and Brazil for the treatment of ATTRv-PN in adults. We currently sell TEGSEDI in Europe through our distribution agreement with Swedish Orphan Biovitrum AB, or Sobi. We and Sobi terminated our agreement for TEGSEDI in North America, after which we discontinued TEGSEDI in North America. In Latin America, PTC Therapeutics International Limited, or PTC, is commercializing TEGSEDI in Brazil and is pursuing access in additional Latin American countries through its exclusive license agreement with us.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1080" w:right="0" w:hanging="0"/>
              <w:jc w:val="left"/>
              <w:rPr/>
            </w:pPr>
            <w:r>
              <w:rPr/>
              <w:t>•</w:t>
            </w:r>
          </w:p>
        </w:tc>
        <w:tc>
          <w:tcPr>
            <w:tcW w:w="10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WAYLIVRA is approved in the EU and Brazil as an adjunct to diet in adult patients with genetically confirmed FCS and at high risk for acute, potentially fatal pancreatitis, in whom response to diet and triglyceride lowering therapy has been inadequate. We sell WAYLIVRA in Europe through our distribution agreement with Sobi. In Latin America, PTC is commercializing WAYLIVRA in Brazil for two indications, FCS and familial partial lipodystrophy, or FPL, and is pursuing access in additional Latin American countries through its exclusive license agreement with us.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our currently marketed medicines, we are also positioned to deliver multiple products to the market independently in the next three years. Donidalorsen for the treatment of hereditary angioedema, or HAE, is currently under regulatory review in the U.S., positioning us for our second independent commercial launch in 2025. We also have a rich innovative late- and mid-stage pipeline across our focus areas of neurology, cardiology and select areas of high patient needs. We currently have nine medicines in Phase 3 development and multiple additional medicines in early and mid-stage development. We delivered eight positive data readouts in the last year from our late- and mid-stage pipeline, including positive data for TRYNGOLZA, donidalorsen and ION582, our medicine for people with Angelman syndrome, or AS. And we further advanced our next-generation technologies for RNA-targeted medicines, including advancing our first program using our mesyl phosphoramidate, or MsPA, backbone into clinical development.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earned revenues of $705 million in 2024 and ended 2024 with a cash and short-term investment balance of $2.3 billion that enables our continued investments to support ongoing and upcoming planned launches and to advance our wholly owned medicines in development. Our key recent achievements, combined with our independent and partnered product launches anticipated over the next three years, position us well to help millions of patients with serious diseases and deliver increasing product and royalty revenue.</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Marketed Medicines – Bringing Value to Patients Today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TRYNGOLZA (apoC-III)</w:t>
      </w:r>
      <w:r>
        <w:rPr>
          <w:rFonts w:ascii="Times New Roman;Times;serif" w:hAnsi="Times New Roman;Times;serif"/>
          <w:color w:val="000000"/>
          <w:sz w:val="20"/>
        </w:rPr>
        <w:t xml:space="preserve"> – TRYNGOLZA (olezarsen), injection is an </w:t>
      </w:r>
      <w:r>
        <w:rPr>
          <w:rFonts w:ascii="Times New Roman;Times;serif" w:hAnsi="Times New Roman;Times;serif"/>
          <w:i/>
          <w:color w:val="000000"/>
          <w:sz w:val="20"/>
        </w:rPr>
        <w:t>APOC-III</w:t>
      </w:r>
      <w:r>
        <w:rPr>
          <w:rFonts w:ascii="Times New Roman;Times;serif" w:hAnsi="Times New Roman;Times;serif"/>
          <w:color w:val="000000"/>
          <w:sz w:val="20"/>
        </w:rPr>
        <w:t>-directed antisense medicine indicated as an adjunct to diet to reduce triglycerides in adults with familial chylomicronemia syndrome, or FCS. TRYNGOLZA lowers the body’s production of apolipoprotein C-III, or apoC-III, a protein produced in the liver that is a key regulator of triglyceride metabolism. TRYNGOLZA was approved by the FDA in December 2024 and is the first-ever FDA-approved treatment that significantly and substantially reduces triglyceride levels in adults with FCS and provides clinically meaningful reduction in AP events when used with an appropriate diet (≤20 grams of fat per day). TRYNGOLZA is currently under regulatory review in the EU.</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FCS is a rare, genetic, potentially life-threatening form of sHTG that prevents the body from breaking down fats and severely impairs the body’s ability to remove triglycerides from the bloodstream due to an impaired function of the enzyme lipoprotein lipase, or LPL. While healthy levels for adults are below 150 mg/dL, people with FCS often have triglyceride levels of more than 880 mg/dL and often have a history of pancreatitis. Those living with FCS have a high risk of potentially fatal AP, which is a painful inflammation of the pancreas, and chronic health issues such as fatigue and severe, recurrent abdominal pain. People living with FCS can also experience psychological and financial stress, which can significantly impact their quality of life. FCS is estimated to impact up to approximately 3,000 people in the U.S., the vast majority of whom remain undiagnosed.</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We are also developing olezarsen to treat severe hypertriglyceridemia, or sHTG. See the “olezarsen” description under the section titled, </w:t>
      </w:r>
      <w:r>
        <w:rPr>
          <w:rFonts w:ascii="Times New Roman;Times;serif" w:hAnsi="Times New Roman;Times;serif"/>
          <w:i/>
          <w:color w:val="000000"/>
          <w:sz w:val="20"/>
        </w:rPr>
        <w:t>Our Innovative Late-Stage Pipeline of Ionis-Owned Investigational Medicines</w:t>
      </w:r>
      <w:r>
        <w:rPr>
          <w:rFonts w:ascii="Times New Roman;Times;serif" w:hAnsi="Times New Roman;Times;serif"/>
          <w:color w:val="000000"/>
          <w:sz w:val="20"/>
        </w:rPr>
        <w:t>, below for further information on our development program for sHTG.</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FDA approval was based on positive data from the placebo-controlled Phase 3 Balance study in adult patients with genetically identified FCS and fasting triglyceride levels ≥880 mg/dL. In the Balance study, TRYNGOLZA demonstrated a statistically significant reduction in triglyceride levels. TRYNGOLZA also demonstrated a substantial, clinically meaningful reduction in AP events. In addition, TRYNGOLZA demonstrated a favorable safety and tolerability profile in the Balance study.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TRYNGOLZA was reviewed by the FDA under Priority Review and had previously been granted Fast Track, Orphan Drug and Breakthrough Therapy designations for the treatment of FCS.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WAINUA (TTR) – </w:t>
      </w:r>
      <w:r>
        <w:rPr>
          <w:rFonts w:ascii="Times New Roman;Times;serif" w:hAnsi="Times New Roman;Times;serif"/>
          <w:color w:val="000000"/>
          <w:sz w:val="20"/>
        </w:rPr>
        <w:t>WAINUA (eplontersen) injection is a transthyretin-directed antisense oligonucleotide indicated for the treatment of the polyneuropathy of hereditary transthyretin-medicated amyloidosis, or ATTRv-PN, in adults. WAINUA causes degradation of mutant and wild-type TTR mRNA through binding to the TTR mRNA, which results in a reduction of serum TTR protein and TTR protein deposits in tissues. WAINUA was approved in the U.S. in December 2023 and was recommended for approval by the CHMP in the EU in October 2024. WAINUA is also approved in other markets, including the UK and Canada, with additional regulatory reviews underway. We and AstraZeneca are co-commercializing WAINUA in the U.S. and AstraZeneca has exclusive rest of world commercialization rights.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ATTRv-PN is a debilitating disease that leads to peripheral nerve damage with motor disability within five years of diagnosis and, without treatment, is generally fatal within a decade. ATTR is caused by the accumulation of liver-derived misfolded TTR protein in tissues, such as the heart and the peripheral nerves, causing organ damage and failure. ATTR then causes complications, leading to cardiovascular, neurological and renal diseases such as heart failure and chronic kidney disease. There are both hereditary (ATTRv) and non-hereditary (wild-type) forms of ATTR. ATTR has several phenotypes including ATTR-cardiomyopathy, or ATTR-CM, which predominantly impacts the heart, potentially leading to heart failure, and ATTR-polyneuropathy, which predominantly affects the peripheral nervous system and mixed phenotype, where patients experience symptoms of both. Worldwide, there are an estimated 10,000 – 40,000 patients with ATTRv-PN. See the “Eplontersen” description under the section titled, </w:t>
      </w:r>
      <w:r>
        <w:rPr>
          <w:rFonts w:ascii="Times New Roman;Times;serif" w:hAnsi="Times New Roman;Times;serif"/>
          <w:i/>
          <w:color w:val="000000"/>
          <w:sz w:val="20"/>
        </w:rPr>
        <w:t>Our Innovative Late-Stage Pipeline of Partnered Investigational Medicines</w:t>
      </w:r>
      <w:r>
        <w:rPr>
          <w:rFonts w:ascii="Times New Roman;Times;serif" w:hAnsi="Times New Roman;Times;serif"/>
          <w:color w:val="000000"/>
          <w:sz w:val="20"/>
        </w:rPr>
        <w:t>, below for further information on our development program for ATTR-CM.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FDA approval was based on the interim analysis of the open-label Phase 3 NEURO-TTRansform study in patients with ATTRv-PN. The study compared WAINUA to the historical placebo arm from the TEGSEDI (inotersen) NEURO-TTR Phase 3 study. In the interim analysis, WAINUA demonstrated a statistically significant and clinically meaningful change from baseline for the co-primary endpoints of serum TTR concentration and Neuropathy Impairment Score +7, or mNIS+7. Additionally, WAINUA demonstrated a favorable safety and tolerability profile in the NEURO-TTRansform study.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granted Orphan Drug designation to WAINUA for the treatment of ATTR.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SPINRAZA (SMN) </w:t>
      </w:r>
      <w:r>
        <w:rPr>
          <w:rFonts w:ascii="Times New Roman;Times;serif" w:hAnsi="Times New Roman;Times;serif"/>
          <w:color w:val="000000"/>
          <w:sz w:val="20"/>
        </w:rPr>
        <w:t>– SPINRAZA (nusinersen) injection for intrathecal use is a survival motor neuron-2, or SMN2, directed antisense medicine indicated for the treatment of SMA in pediatric and adult patients. SPINRAZA targets the root cause of SMA by increasing the production of functional survival motor neuron, or SMN, protein. SPINRAZA is a global market leader for the treatment of patients with SMA. Our partner, Biogen, is responsible for commercializing SPINRAZA worldwide.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SMA is characterized by loss of motor neurons in the spinal cord and lower brain stem. People with SMA have a deletion or defect in their </w:t>
      </w:r>
      <w:r>
        <w:rPr>
          <w:rFonts w:ascii="Times New Roman;Times;serif" w:hAnsi="Times New Roman;Times;serif"/>
          <w:i/>
          <w:color w:val="000000"/>
          <w:sz w:val="20"/>
        </w:rPr>
        <w:t>SMN1</w:t>
      </w:r>
      <w:r>
        <w:rPr>
          <w:rFonts w:ascii="Times New Roman;Times;serif" w:hAnsi="Times New Roman;Times;serif"/>
          <w:color w:val="000000"/>
          <w:sz w:val="20"/>
        </w:rPr>
        <w:t xml:space="preserve"> gene and rely on their </w:t>
      </w:r>
      <w:r>
        <w:rPr>
          <w:rFonts w:ascii="Times New Roman;Times;serif" w:hAnsi="Times New Roman;Times;serif"/>
          <w:i/>
          <w:color w:val="000000"/>
          <w:sz w:val="20"/>
        </w:rPr>
        <w:t>SMN2</w:t>
      </w:r>
      <w:r>
        <w:rPr>
          <w:rFonts w:ascii="Times New Roman;Times;serif" w:hAnsi="Times New Roman;Times;serif"/>
          <w:color w:val="000000"/>
          <w:sz w:val="20"/>
        </w:rPr>
        <w:t xml:space="preserve"> gene to produce functional SMN protein, which motor neurons need to maintain motor function and muscle strength. However, in untreated people the </w:t>
      </w:r>
      <w:r>
        <w:rPr>
          <w:rFonts w:ascii="Times New Roman;Times;serif" w:hAnsi="Times New Roman;Times;serif"/>
          <w:i/>
          <w:color w:val="000000"/>
          <w:sz w:val="20"/>
        </w:rPr>
        <w:t>SMN2</w:t>
      </w:r>
      <w:r>
        <w:rPr>
          <w:rFonts w:ascii="Times New Roman;Times;serif" w:hAnsi="Times New Roman;Times;serif"/>
          <w:color w:val="000000"/>
          <w:sz w:val="20"/>
        </w:rPr>
        <w:t xml:space="preserve"> gene can only produce approximately 10% of the SMN protein critical for motor neurons, resulting in severe and progressive loss of motor function and strength. The rate and severity of degeneration varies depending on the amount of functional SMN protein a patient can produce. Type 1, or infantile-onset, SMA is the most severe form of the disease. Type 1 SMA patients produce very little SMN protein and often progress to death or permanent ventilation by the age of 2. Patients with Type 2 or Type 3, or later-onset, SMA produce more SMN protein, but also suffer from a progressive loss of muscle strength and function and a reduced life expectancy.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approval of SPINRAZA was based on efficacy and safety data from multiple clinical studies, including two randomized, placebo-controlled Phase 3 studies, ENDEAR, in patients with infantile-onset SMA, and CHERISH, in patients with later-onset SMA as well as from SHINE, an OLE study for patients with SMA who participated in prior SPINRAZA studies. Additionally, Biogen conducted the Phase 2 NURTURE study, an open-label study investigating the benefit of SPINRAZA when administered before symptom onset in patients genetically diagnosed with SMA which showed that early and sustained treatment with SPINRAZA helped participants to maintain and/or make progressive gains in motor function with most children achieving motor milestones within age-appropriate timelines and no major motor milestones were lost. SPINRAZA demonstrated a favorable safety and tolerability profile in the studies.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Biogen continues to expand the body of evidence supporting SPINRAZA’s durable efficacy and well-established safety profile to address the remaining needs of SMA patients of all ages through additional studies. These include the Phase 2/3 DEVOTE study, which evaluated a higher dose of SPINRAZA compared to the currently approved dose, the Phase 4 RESPOND study, evaluating the benefit of SPINRAZA in infants and children with a suboptimal clinical response to the gene therapy, onasemnogene abeparvovec and the Phase 3b ASCEND study evaluating the clinical outcomes and assessing the safety of a higher dose of SPINRAZA in children, teens and adults with later-onset SMA following treatment with risdiplam. The positive data generated from the DEVOTE study were the basis of the recent U.S. and EU regulatory submissions that were accepted for review for higher dose nusinersen.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QALSODY (SOD1) – </w:t>
      </w:r>
      <w:r>
        <w:rPr>
          <w:rFonts w:ascii="Times New Roman;Times;serif" w:hAnsi="Times New Roman;Times;serif"/>
          <w:color w:val="000000"/>
          <w:sz w:val="20"/>
        </w:rPr>
        <w:t>QALSODY (tofersen) injection for intrathecal use is an antisense medicine indicated for the treatment of Amyotrophic Lateral Sclerosis, or ALS, in adults who have a mutation in the superoxide dismutase 1, or SOD1, gene, or SOD1-ALS. QALSODY inhibits the production of SOD1. QALSODY was granted accelerated approval in April 2023 based on reduction in plasma neurofilament light chain, or NfL, observed in patients treated with QALSODY. Continued approval for this indication may be contingent upon verification of clinical benefit in confirmatory trial(s). In May 2024, QALSODY was also approved in the EU under exceptional circumstances. Additionally, QALSODY was recently approved in China and Japan. Our partner, Biogen, is responsible for commercializing QALSODY worldwide.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SOD1-ALS is a rare, fatal, neurodegenerative disorder caused by a mutation in the </w:t>
      </w:r>
      <w:r>
        <w:rPr>
          <w:rFonts w:ascii="Times New Roman;Times;serif" w:hAnsi="Times New Roman;Times;serif"/>
          <w:i/>
          <w:color w:val="000000"/>
          <w:sz w:val="20"/>
        </w:rPr>
        <w:t>SOD1</w:t>
      </w:r>
      <w:r>
        <w:rPr>
          <w:rFonts w:ascii="Times New Roman;Times;serif" w:hAnsi="Times New Roman;Times;serif"/>
          <w:color w:val="000000"/>
          <w:sz w:val="20"/>
        </w:rPr>
        <w:t xml:space="preserve"> gene leading to a progressive loss of motor neurons. As a result, people with SOD1-ALS experience increasing muscle weakness, loss of movement, difficulty breathing and swallowing and eventually succumb to the disease. Mutations in the </w:t>
      </w:r>
      <w:r>
        <w:rPr>
          <w:rFonts w:ascii="Times New Roman;Times;serif" w:hAnsi="Times New Roman;Times;serif"/>
          <w:i/>
          <w:color w:val="000000"/>
          <w:sz w:val="20"/>
        </w:rPr>
        <w:t>SOD1</w:t>
      </w:r>
      <w:r>
        <w:rPr>
          <w:rFonts w:ascii="Times New Roman;Times;serif" w:hAnsi="Times New Roman;Times;serif"/>
          <w:color w:val="000000"/>
          <w:sz w:val="20"/>
        </w:rPr>
        <w:t xml:space="preserve"> gene are responsible for approximately 2% of the estimated 168,000 people who have ALS globally (SOD1-ALS). More than 15% of people with ALS are thought to have a genetic form of the disease; however, they may not have a known family history of the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also evaluating tofersen for treatment of presymptomatic individuals who have a SOD1 genetic mutation.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QALSODY regulatory submissions included results from a Phase 1 study in healthy volunteers, a Phase 1/2 study evaluating ascending dose levels, the Phase 3 VALOR study, and the Phase 3 OLE study, as well as 12-month integrated results from the Phase 3 VALOR study and the Phase 3 open-label extension, or OLE, study. The 12-month integrated data show that earlier initiation of QALSODY, compared to delayed initiation, slowed declines in clinical function, respiratory function, muscle strength and quality of life and build on the results previously observed in the initial readout. The 12-month data compare patients with early initiation of QALSODY (at the start of VALOR) to those who had a delayed initiation of QALSODY (six months later, in the OLE). Additionally, QALSODY demonstrated a favorable safety and tolerability profile in the VALOR study.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EMA granted QALSODY Orphan Drug designation for the treatment of ALS.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TEGSEDI (TTR) – </w:t>
      </w:r>
      <w:r>
        <w:rPr>
          <w:rFonts w:ascii="Times New Roman;Times;serif" w:hAnsi="Times New Roman;Times;serif"/>
          <w:color w:val="000000"/>
          <w:sz w:val="20"/>
        </w:rPr>
        <w:t>TEGSEDI (inotersen) injection is a transthyretin-directed antisense oligonucleotide medicine indicated for the treatment of ATTRv-PN in adults. TEGSEDI prevents the production of TTR protein, reducing the amount of amyloid buildup that damages organs and tissues. We currently sell TEGSEDI in Europe through our distribution agreement with Sobi. In Latin America, PTC is commercializing TEGSEDI in Brazil and is pursuing access in additional Latin American countries through its exclusive license agreement with us.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approvals of TEGSEDI were based on efficacy and safety data from the Phase 3 NEURO-TTR study in patients with ATTRv-PN.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WAYLIVRA (apoC-III) – </w:t>
      </w:r>
      <w:r>
        <w:rPr>
          <w:rFonts w:ascii="Times New Roman;Times;serif" w:hAnsi="Times New Roman;Times;serif"/>
          <w:color w:val="000000"/>
          <w:sz w:val="20"/>
        </w:rPr>
        <w:t>WAYLIVRA (volanesorsen) injection is an antisense oligonucleotide medicine indicated as an adjunct to diet in adult patients with genetically confirmed FCS and at high risk for acute, potentially fatal pancreatitis, in whom response to diet and triglyceride lowering therapy has been inadequate. WAYLIVRA reduces triglyceride levels by inhibiting the production of apoC-III, a protein that is a key regulator of triglyceride levels. WAYLIVRA received conditional marketing authorization in May 2019 from the European Commission, or EC. We sell WAYLIVRA in Europe through our distribution agreement with Sobi. In Latin America, WAYLIVRA is approved for two indications, FCS and FPL. PTC is commercializing WAYLIVRA in Brazil and is pursuing access in additional Latin American countries through its exclusive license agreement with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WAYLIVRA’s conditional marketing authorization in the EU for FCS and approval in Brazil for FCS we</w:t>
      </w:r>
      <w:r>
        <w:rPr>
          <w:rFonts w:ascii="Times New Roman;Times;serif" w:hAnsi="Times New Roman;Times;serif"/>
          <w:color w:val="000000"/>
          <w:sz w:val="20"/>
          <w:shd w:fill="FBFBFB" w:val="clear"/>
        </w:rPr>
        <w:t xml:space="preserve">re based </w:t>
      </w:r>
      <w:r>
        <w:rPr>
          <w:rFonts w:ascii="Times New Roman;Times;serif" w:hAnsi="Times New Roman;Times;serif"/>
          <w:color w:val="000000"/>
          <w:sz w:val="20"/>
        </w:rPr>
        <w:t xml:space="preserve">on efficacy and safety data from </w:t>
      </w:r>
      <w:r>
        <w:rPr>
          <w:rFonts w:ascii="Times New Roman;Times;serif" w:hAnsi="Times New Roman;Times;serif"/>
          <w:color w:val="000000"/>
          <w:sz w:val="20"/>
          <w:shd w:fill="FBFBFB" w:val="clear"/>
        </w:rPr>
        <w:t>the Phase 3 APPROACH study and supported by results from the Phase 3 COMPASS study.</w:t>
      </w:r>
      <w:r>
        <w:rPr>
          <w:rFonts w:ascii="Times New Roman;Times;serif" w:hAnsi="Times New Roman;Times;serif"/>
          <w:color w:val="000000"/>
          <w:sz w:val="20"/>
        </w:rPr>
        <w:t xml:space="preserve"> WAYLIVRA’s approval in Brazil for FPL was</w:t>
      </w:r>
      <w:r>
        <w:rPr>
          <w:rFonts w:ascii="Times New Roman;Times;serif" w:hAnsi="Times New Roman;Times;serif"/>
          <w:color w:val="000000"/>
          <w:sz w:val="20"/>
          <w:shd w:fill="FBFBFB" w:val="clear"/>
        </w:rPr>
        <w:t xml:space="preserve"> based </w:t>
      </w:r>
      <w:r>
        <w:rPr>
          <w:rFonts w:ascii="Times New Roman;Times;serif" w:hAnsi="Times New Roman;Times;serif"/>
          <w:color w:val="000000"/>
          <w:sz w:val="20"/>
        </w:rPr>
        <w:t xml:space="preserve">on efficacy and safety data from </w:t>
      </w:r>
      <w:r>
        <w:rPr>
          <w:rFonts w:ascii="Times New Roman;Times;serif" w:hAnsi="Times New Roman;Times;serif"/>
          <w:color w:val="000000"/>
          <w:sz w:val="20"/>
          <w:shd w:fill="FBFBFB" w:val="clear"/>
        </w:rPr>
        <w:t>the Phase 3 BROADEN study in patients with FPL.</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Innovative Late-Stage Pipeline of Ionis-Owned Investigational Medicines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As a pioneer in RNA-targeted therapeutics, we continue to drive innovation with a leading pipeline in neurology, cardiology and select diseases of high unmet need. The table below lists Ionis-owned medicines currently in late-stage development, which Ionis plans to commercialize in the U.S. independently.</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686550" cy="2581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86550" cy="2581275"/>
                    </a:xfrm>
                    <a:prstGeom prst="rect">
                      <a:avLst/>
                    </a:prstGeom>
                  </pic:spPr>
                </pic:pic>
              </a:graphicData>
            </a:graphic>
          </wp:inline>
        </w:drawing>
      </w:r>
    </w:p>
    <w:p>
      <w:pPr>
        <w:pStyle w:val="TextBody"/>
        <w:bidi w:val="0"/>
        <w:spacing w:before="0" w:after="0"/>
        <w:jc w:val="left"/>
        <w:rPr/>
      </w:pPr>
      <w:r>
        <w:rPr/>
      </w:r>
    </w:p>
    <w:tbl>
      <w:tblPr>
        <w:tblW w:w="7203" w:type="dxa"/>
        <w:jc w:val="left"/>
        <w:tblInd w:w="0" w:type="dxa"/>
        <w:tblLayout w:type="fixed"/>
        <w:tblCellMar>
          <w:top w:w="0" w:type="dxa"/>
          <w:left w:w="0" w:type="dxa"/>
          <w:bottom w:w="0" w:type="dxa"/>
          <w:right w:w="0" w:type="dxa"/>
        </w:tblCellMar>
      </w:tblPr>
      <w:tblGrid>
        <w:gridCol w:w="38"/>
        <w:gridCol w:w="125"/>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7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Ionis is commercializing TRYNGOLZA (olezarsen) for the treatment of FCS in the U.S.</w:t>
            </w:r>
          </w:p>
        </w:tc>
      </w:tr>
    </w:tbl>
    <w:tbl>
      <w:tblPr>
        <w:tblW w:w="8238" w:type="dxa"/>
        <w:jc w:val="left"/>
        <w:tblInd w:w="0" w:type="dxa"/>
        <w:tblLayout w:type="fixed"/>
        <w:tblCellMar>
          <w:top w:w="0" w:type="dxa"/>
          <w:left w:w="0" w:type="dxa"/>
          <w:bottom w:w="0" w:type="dxa"/>
          <w:right w:w="0" w:type="dxa"/>
        </w:tblCellMar>
      </w:tblPr>
      <w:tblGrid>
        <w:gridCol w:w="38"/>
        <w:gridCol w:w="12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80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Granted Otsuka exclusive rights to commercialize donidalorsen in Europe and Asia-Pacific regions.</w:t>
            </w:r>
          </w:p>
        </w:tc>
      </w:tr>
    </w:tbl>
    <w:tbl>
      <w:tblPr>
        <w:tblW w:w="8358" w:type="dxa"/>
        <w:jc w:val="left"/>
        <w:tblInd w:w="0" w:type="dxa"/>
        <w:tblLayout w:type="fixed"/>
        <w:tblCellMar>
          <w:top w:w="0" w:type="dxa"/>
          <w:left w:w="0" w:type="dxa"/>
          <w:bottom w:w="0" w:type="dxa"/>
          <w:right w:w="0" w:type="dxa"/>
        </w:tblCellMar>
      </w:tblPr>
      <w:tblGrid>
        <w:gridCol w:w="38"/>
        <w:gridCol w:w="125"/>
        <w:gridCol w:w="819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3</w:t>
            </w:r>
          </w:p>
        </w:tc>
        <w:tc>
          <w:tcPr>
            <w:tcW w:w="8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Granted Theratechnologies exclusive rights to commercialize olezarsen and donidalorsen in Canada.</w:t>
            </w:r>
          </w:p>
        </w:tc>
      </w:tr>
    </w:tbl>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Olezarsen (apoC-III)</w:t>
      </w:r>
      <w:r>
        <w:rPr>
          <w:rFonts w:ascii="Times New Roman;Times;serif" w:hAnsi="Times New Roman;Times;serif"/>
          <w:color w:val="000000"/>
          <w:sz w:val="20"/>
        </w:rPr>
        <w:t xml:space="preserve"> – </w:t>
      </w:r>
      <w:r>
        <w:rPr>
          <w:rFonts w:ascii="Times New Roman;Times;serif" w:hAnsi="Times New Roman;Times;serif"/>
          <w:color w:val="000000"/>
          <w:sz w:val="24"/>
        </w:rPr>
        <w:t>O</w:t>
      </w:r>
      <w:r>
        <w:rPr>
          <w:rFonts w:ascii="Times New Roman;Times;serif" w:hAnsi="Times New Roman;Times;serif"/>
          <w:color w:val="000000"/>
          <w:sz w:val="20"/>
        </w:rPr>
        <w:t>lezarsen is an investigational RNA-targeted medicine that we are evaluating for people with sHTG. Olezarsen is designed to lower the body’s production of apoC-III, a protein produced in the liver that regulates triglyceride metabolism in the blood. sHTG is a disease categorized by triglyceride levels of 500 mg/dL and above. It develops due to primary (genetic) and secondary causes including diet and lifestyle, other medical conditions and certain medications. More than three million people are currently estimated to live with sHTG in the U.S. People living with sHTG are at high risk of pancreatitis (a painful inflammation of the pancreas) and damage to the pancreas. As such, reducing the risk of pancreatitis is a critically important reason to treat sHTG. People with sHTG are also at risk of heart, brain and blood vessel damage.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are currently conducting a broad development program for olezarsen that includes three fully enrolled Phase 3 studies supporting development for the treatment of sHTG: CORE, CORE2 and ESSENCE. Data from the ESSENCE study is expected in mid-2025 and data from the CORE and CORE2 studies are expected in the second half of 2025.</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We advanced olezarsen into Phase 3 development based on the positive results from a Phase 2 clinical study in patients with hypertriglyceridemia and at high risk of or with established cardiovascular disease, or CVD. In the Phase 2 study, olezarsen achieved statistically significant, dose-dependent reductions in fasting triglycerides compared to placebo at all dose levels. Olezarsen also achieved statistical significance in numerous key secondary endpoints, including significant reductions in apoC-III. Olezarsen demonstrated a favorable safety and tolerability profile in the Phase 2 study supportive of continued development. As discussed above under “TRYNGOLZA” in the section titled, </w:t>
      </w:r>
      <w:r>
        <w:rPr>
          <w:rFonts w:ascii="Times New Roman;Times;serif" w:hAnsi="Times New Roman;Times;serif"/>
          <w:i/>
          <w:color w:val="000000"/>
          <w:sz w:val="20"/>
        </w:rPr>
        <w:t>Our Marketed Medicines – Bringing Value to Patients Today</w:t>
      </w:r>
      <w:r>
        <w:rPr>
          <w:rFonts w:ascii="Times New Roman;Times;serif" w:hAnsi="Times New Roman;Times;serif"/>
          <w:color w:val="000000"/>
          <w:sz w:val="20"/>
        </w:rPr>
        <w:t>, olezarsen was recently approved in the U.S. for the treatment of FCS.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Donidalorsen (PKK)</w:t>
      </w:r>
      <w:r>
        <w:rPr>
          <w:rFonts w:ascii="Times New Roman;Times;serif" w:hAnsi="Times New Roman;Times;serif"/>
          <w:color w:val="000000"/>
          <w:sz w:val="20"/>
        </w:rPr>
        <w:t> – Donidalorsen is an investigational RNA-targeted medicine we designed to target the production of prekallikrein, or PKK, which plays an important role in the activation of inflammatory mediators associated with acute attacks of HAE. By reducing the production of PKK, donidalorsen could be an effective prophylactic approach to preventing HAE attacks. HAE is a rare and potentially life-threatening genetic condition that involves recurrent attacks of severe swelling (angioedema) in various parts of the body, including the hands, feet, genitals, stomach, face and/or throat. HAE is estimated to affect approximately 20,000 people in the U.S. and Europe. Donidalorsen is currently under review in the U.S. and the FDA has set an action date of August 21, 2025 under the Prescription Drug User Fee Act, or PDUFA. Donidalorsen is also under regulatory review in the EU. Otsuka has exclusive rights to commercialize donidalorsen in Europe and Asia and Theratechnologies has exclusive rights to commercialize donidalorsen in Canada.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regulatory submissions are based on the positive data from the placebo-controlled Phase 3 OASIS-HAE study, the Phase 3 OASISplus study and the Phase 2 OLE study in patients with HAE. The OASIS-HAE study met its primary endpoint with a statistically significant reduction in the rate of HAE attacks and demonstrated clinically significant improvement in quality of life as measured by the Angioedema Quality of Life Questionnaire, or AE-QoL in patients treated every four weeks and patients treated every eight weeks. The OASISplus study includes an OLE cohort and a prospective cohort to assess patients switching from currently available long-term prophylactic treatments to donidalorsen. Positive results from a February 2024 data cut from the ongoing OLE cohort showed that HAE attack rates continued to improve over time and extended treatment resulted in further improved quality of life measures and high levels of disease control. In the OASISplus switch cohort, patients followed a pre-defined specific protocol to transition from their prior therapy to donidalorsen. Results showed that patients were able to switch to donidalorsen from prior prophylactic treatment without an increase in breakthrough attacks. Donidalorsen treatment also led to a further improvement in mean monthly HAE attack rates and continued improvements in measures of quality of life. A majority of patients surveyed reported a preference for donidalorsen over their previous treatment. In all of these studies, donidalorsen demonstrated a favorable safety and tolerability profile.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and EMA granted Orphan Drug designation to 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Zilganersen (GFAP)</w:t>
      </w:r>
      <w:r>
        <w:rPr>
          <w:rFonts w:ascii="Times New Roman;Times;serif" w:hAnsi="Times New Roman;Times;serif"/>
          <w:color w:val="000000"/>
          <w:sz w:val="20"/>
        </w:rPr>
        <w:t xml:space="preserve"> – Zilganersen (formerly ION373) is an investigational RNA-targeted medicine we designed to inhibit the production of glial fibrillary acidic protein, or GFAP, that accumulates because of disease-causing variants in the </w:t>
      </w:r>
      <w:r>
        <w:rPr>
          <w:rFonts w:ascii="Times New Roman;Times;serif" w:hAnsi="Times New Roman;Times;serif"/>
          <w:i/>
          <w:color w:val="000000"/>
          <w:sz w:val="20"/>
        </w:rPr>
        <w:t>GFAP</w:t>
      </w:r>
      <w:r>
        <w:rPr>
          <w:rFonts w:ascii="Times New Roman;Times;serif" w:hAnsi="Times New Roman;Times;serif"/>
          <w:color w:val="000000"/>
          <w:sz w:val="20"/>
        </w:rPr>
        <w:t xml:space="preserve"> gene. We are developing zilganersen as a potential treatment for people with genetically confirmed Alexander disease, or AxD. AxD is an ultra-rare, progressive and ultimately fatal type of leukodystrophy, which are a group of genetic disorders that affect the brain’s white matter. AxD is estimated to occur in approximately one in one million to one in three million people worldwide and usually leads to death within 14 - 25 years after symptom onset. AxD can present throughout life as loss of independence and lack of ability to control muscles for swallowing, airway protection and purposeful movements. The impact of AxD can vary depending on factors like age of onset. Diagnosing AxD is based on a combination of clinical presentation, brain magnetic resonance imaging, or MRI, findings and genetic testing. There are no medicines approved for people with AxD, and current treatments focus on managing their symptoms.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are conducting a single clinical study of zilganersen in patients with AxD designed to assess the efficacy, safety and tolerability of zilganersen. In September 2023, we advanced zilganersen into the Phase 3 portion of the study.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EMA granted Orphan Drug designation to zilganersen. Additionally, the FDA granted Fast Track and Rare Pediatric designations to zilganersen.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ION582 (UBE3A)</w:t>
      </w:r>
      <w:r>
        <w:rPr>
          <w:rFonts w:ascii="Times New Roman;Times;serif" w:hAnsi="Times New Roman;Times;serif"/>
          <w:color w:val="000000"/>
          <w:sz w:val="20"/>
        </w:rPr>
        <w:t xml:space="preserve"> (BIIB121) – ION582 is an investigational RNA-targeted medicine we designed to inhibit the expression of the UBE3A antisense transcript, or UBE3A-ATS, and increase production of UBE3A protein, for the potential treatment of AS. AS is a rare, genetic neurological disease caused by the loss of function of the maternally inherited </w:t>
      </w:r>
      <w:r>
        <w:rPr>
          <w:rFonts w:ascii="Times New Roman;Times;serif" w:hAnsi="Times New Roman;Times;serif"/>
          <w:i/>
          <w:color w:val="000000"/>
          <w:sz w:val="20"/>
        </w:rPr>
        <w:t>UBE3A</w:t>
      </w:r>
      <w:r>
        <w:rPr>
          <w:rFonts w:ascii="Times New Roman;Times;serif" w:hAnsi="Times New Roman;Times;serif"/>
          <w:color w:val="000000"/>
          <w:sz w:val="20"/>
        </w:rPr>
        <w:t xml:space="preserve"> gene. AS typically presents in infancy and is characterized by intellectual disability, balance issues, motor impairment, and debilitating seizures. Some patients are unable to walk or speak. Some symptoms can be managed with existing drugs; however, there are no approved disease modifying therapies.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are conducting the ongoing open label Phase 1/2 study, HALOS, of ION582 in patients with AS designed to assess the safety, tolerability and activity of multiple ascending doses of ION582 administered intrathecally. In 2024, we presented positive results from the completed multiple ascending dose, or MAD, portion of the study in people with AS demonstrating consistent and encouraging clinical improvement on measures assessing all functional domains including communication, cognition and motor function. ION582 showed favorable safety and tolerability at all dose levels in the study.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Based on the positive results from the HALOS study and alignment with the FDA, we plan to advance ION582 into Phase 3 development in the first half of 2025. The planned placebo-controlled Phase 3 study will enroll children and adults with AS who have a maternal </w:t>
      </w:r>
      <w:r>
        <w:rPr>
          <w:rFonts w:ascii="Times New Roman;Times;serif" w:hAnsi="Times New Roman;Times;serif"/>
          <w:i/>
          <w:color w:val="000000"/>
          <w:sz w:val="20"/>
        </w:rPr>
        <w:t>UBE3A</w:t>
      </w:r>
      <w:r>
        <w:rPr>
          <w:rFonts w:ascii="Times New Roman;Times;serif" w:hAnsi="Times New Roman;Times;serif"/>
          <w:color w:val="000000"/>
          <w:sz w:val="20"/>
        </w:rPr>
        <w:t xml:space="preserve"> gene deletion or mutation to assess the efficacy, safety and tolerability of ION582.</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EMA granted Orphan Drug designation to ION582. Additionally, the FDA granted Fast Track and Rare Pediatric designations to ION582.</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Our Innovative Late-Stage Pipeline of Partnered Investigational Medicines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 xml:space="preserve">In addition to our Ionis-owned investigational medicines, we also have numerous potentially transformational partnered medicines in clinical development. The table below lists our partnered medicines in late-stage development. For further information on our collaboration agreements, refer to the section titled, </w:t>
      </w:r>
      <w:r>
        <w:rPr>
          <w:rFonts w:ascii="Times New Roman;Times;serif" w:hAnsi="Times New Roman;Times;serif"/>
          <w:i/>
          <w:color w:val="000000"/>
          <w:sz w:val="20"/>
        </w:rPr>
        <w:t>Collaborative Arrangements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429375" cy="2571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29375" cy="2571750"/>
                    </a:xfrm>
                    <a:prstGeom prst="rect">
                      <a:avLst/>
                    </a:prstGeom>
                  </pic:spPr>
                </pic:pic>
              </a:graphicData>
            </a:graphic>
          </wp:inline>
        </w:drawing>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Eplontersen (TTR) – </w:t>
      </w:r>
      <w:r>
        <w:rPr>
          <w:rFonts w:ascii="Times New Roman;Times;serif" w:hAnsi="Times New Roman;Times;serif"/>
          <w:color w:val="000000"/>
          <w:sz w:val="20"/>
        </w:rPr>
        <w:t>Eplontersen is an investigational RNA-targeted medicine designed to degrade mutant and wild-type TTR mRNA through binding to the TTR mRNA, which results in a reduction of serum TTR protein and TTR protein deposits in tissues. Eplontersen is currently being evaluated in patients with hereditary or wild-type transthyretin-mediated amyloid cardiomyopathy, or ATTR-CM. ATTR-CM is a progressive and fatal disease caused by the accumulation of misfolded TTR protein in the cardiac muscle. Patients experience ongoing debilitating heart damage resulting in progressive heart failure, which results in death within two to six years from disease onset. Worldwide, there are an estimated 300,000 – 500,000 patients with ATTR-CM. We and AstraZeneca are co-developing eplontersen globally and co-commercializing eplontersen in the U.S. AstraZeneca has exclusive rest-of-world commercialization rights.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conducting the ongoing placebo-controlled CARDIO-TTRansform Phase 3 cardiovascular outcome study of eplontersen in patients with ATTR-CM. We designed the study to evaluate the efficacy, safety and tolerability of eplontersen in patients with ATTR-CM.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under “WAINUA” in the section titled, </w:t>
      </w:r>
      <w:r>
        <w:rPr>
          <w:rFonts w:ascii="Times New Roman;Times;serif" w:hAnsi="Times New Roman;Times;serif"/>
          <w:i/>
          <w:color w:val="000000"/>
          <w:sz w:val="20"/>
        </w:rPr>
        <w:t>Our Marketed Medicines – Bringing Value to Patients Today</w:t>
      </w:r>
      <w:r>
        <w:rPr>
          <w:rFonts w:ascii="Times New Roman;Times;serif" w:hAnsi="Times New Roman;Times;serif"/>
          <w:color w:val="000000"/>
          <w:sz w:val="20"/>
        </w:rPr>
        <w:t>, eplontersen is approved in numerous countries, including the U.S. and UK, for the treatment of the ATTRv-PN.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granted Orphan Drug designation to WAINUA for the treatment of ATTR. The FDA also granted Fast Track designation to eplontersen for ATTR-CM.</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 xml:space="preserve">Pelacarsen (Apo(a)) </w:t>
      </w:r>
      <w:r>
        <w:rPr>
          <w:rFonts w:ascii="Times New Roman;Times;serif" w:hAnsi="Times New Roman;Times;serif"/>
          <w:color w:val="000000"/>
          <w:sz w:val="20"/>
        </w:rPr>
        <w:t>(TQJ230) – Pelacarsen is an investigational RNA-targeted medicine we designed to inhibit the production of apolipoprotein(a), or Apo(a), in the liver to offer a direct approach for reducing lipoprotein(a), or Lp(a). Elevated Lp(a) is recognized as an independent, genetic cause of CVD. Lp(a) levels are determined at birth and lifestyle modification, including diet and exercise, do not impact Lp(a) levels. Inhibiting the production of Apo(a) in the liver reduces the level of Lp(a) in blood, potentially slowing down or reversing CVD in people with hyperlipoproteinemia(a), a condition in which individuals have levels of Lp(a) greater than 50 mg/dL, the recognized threshold for risk of CVD. We believe antisense technology is well suited to address hyperlipoproteinemia(a) because it specifically targets the RNA that codes for all forms of the Apo(a) molecule. It is estimated that there are more than eight million people living with CVD and elevated levels of Lp(a). Our partner, Novartis, is responsible for ongoing development and commercialization of pelacarsen worldwide.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Novartis is conducting the placebo-controlled Phase 3 cardiovascular outcome study of pelacarsen, Lp(a)HORIZON, to assess the efficacy, safety and tolerability of pelacarsen in patients with elevated Lp(a) levels and established or at risk for CVD.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2018, at the American Heart Association annual meeting, we reported results of the Phase 2 study of pelacarsen in patients with hyperlipoproteinemia(a). In the Phase 2 study, we observed statistically significant and dose dependent reductions from baseline in Lp(a) levels. Additionally, pelacarsen demonstrated a favorable safety and tolerability profile in the study.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Center for Drug Evaluation of China National Medical Products Administration granted pelacarsen Fast Track designation and Breakthrough Therapy, respectively, for the treatment of patients with elevated Lp(a) and established CVD.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Bepirovirsen (HBV) </w:t>
      </w:r>
      <w:r>
        <w:rPr>
          <w:rFonts w:ascii="Times New Roman;Times;serif" w:hAnsi="Times New Roman;Times;serif"/>
          <w:color w:val="000000"/>
          <w:sz w:val="20"/>
        </w:rPr>
        <w:t>(GSK3228836) – Bepirovirsen is an investigational RNA-targeted medicine we designed to inhibit the production of viral proteins associated with hepatitis B virus, or HBV. These include proteins associated with infection and replication, including the hepatitis B surface antigen, or HBsAg, which is present in both acute and chronic infections and is associated with a poor prognosis in people with chronic HBV infection. HBV infection is a serious health problem that can lead to significant and potentially fatal health conditions, including cirrhosis, liver failure and liver cancer. Chronic HBV infection is one of the most common persistent viral infections in the world, affecting more than 250 million people and resulting in more than 1 million deaths annually. Currently available therapies, although effective in reducing circulating HBV in the blood, do not effectively inhibit HBV antigen production and secretion, which are associated with poor prognosis and increased risk of liver cancer. Our partner, GSK, is responsible for ongoing development and commercialization of bepirovirsen worldwide.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GSK is conducting the placebo-controlled Phase 3 program of bepirovirsen, B-Well, in patients with chronic HBV designed to assess the efficacy, safety and tolerability of bepirovirsen.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June 2022, GSK presented positive results from the Phase 2b B-Clear study of bepirovirsen in patients with chronic HBV infection. The end of study results showed that treatment with bepirovirsen in some patients resulted in sustained clearance of HBsAg and HBV DNA for 24 weeks after end of bepirovirsen treatment in people with chronic HBV infection. Additionally in June 2023, GSK presented durable response data from the Phase 2 B-Sure long-term follow-up study of bepirovirsen in complete responder patients from the Phase 2b B-Clear study of patients with HBV. And in October 2023, GSK reported positive data from the B-Together Phase 2b study of bepirovirsen in patients with chronic HBV infection following sequential treatment with pegylated interferon. Bepirovirsen demonstrated a favorable safety and tolerability profile in these studies.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Japanese Ministry of Health, Labour and Welfare, or MHLW, granted bepirovirsen Fast Track designation and SENKU (formerly known as SAKIGAKE) designation, respectively, for the treatment of patients with chronic HBV infection.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b/>
          <w:color w:val="000000"/>
          <w:sz w:val="20"/>
        </w:rPr>
        <w:t xml:space="preserve">Sefaxersen (IgAN) </w:t>
      </w:r>
      <w:r>
        <w:rPr>
          <w:rFonts w:ascii="Times New Roman;Times;serif" w:hAnsi="Times New Roman;Times;serif"/>
          <w:color w:val="000000"/>
          <w:sz w:val="20"/>
        </w:rPr>
        <w:t>(RO7434656) – Sefaxersen (formerly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is an investigational RNA-targeted medicine we designed to reduce the production of complement factor B, or FB, and to lower activation of the alternative complement pathway. Genetic association studies have shown that overaction of the alternative complement pathway has been associated with the development of several complement-mediated diseases, including immunoglobulin A nephropathy, or IgAN. IgAN is one of the most common causes of inflammation that impairs the filtering ability of kidneys and is an important cause of chronic kidney disease and kidney failure. Also known as Berger’s disease, IgAN is characterized by deposits of IgA in the kidneys, resulting in inflammation and tissue damage. Our partner, Roche, is responsible for ongoing development and commercialization of sefaxersen worldwide.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2023, Roche initiated a placebo-controlled Phase 3 study of sefaxersen, called IMAGINATION, in patients with IgAN designed to assess the efficacy, safety and tolerability of sefaxersen.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reported positive results from a Phase 2 open-label study of sefaxersen in patients with IgAN, demonstrating robust and sustained reductions in complement FB and other key measures of the alternative complement pathway. Sefaxersen treatment also resulted in sustained reductions in proteinuria with patients maintaining kidney function, as measured by estimated glomerular filtration rate, or eGFR, during six months of treatment. Sefaxersen demonstrated a favorable safety and tolerability profile in the study.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b/>
          <w:color w:val="000000"/>
          <w:sz w:val="20"/>
        </w:rPr>
        <w:t>Ulefnersen (FUS)</w:t>
      </w:r>
      <w:r>
        <w:rPr>
          <w:rFonts w:ascii="Times New Roman;Times;serif" w:hAnsi="Times New Roman;Times;serif"/>
          <w:color w:val="000000"/>
          <w:sz w:val="20"/>
        </w:rPr>
        <w:t xml:space="preserve"> – Ulefnersen is an investigational RNA-targeted medicine we designed to reduce the production of the fused in sarcoma, or FUS, protein to treat people with Amyotrophic lateral sclerosis, or ALS, caused by mutations in the FUS gene. Because antisense-mediated reduction of mutant FUS protein in a FUS-ALS mouse model demonstrated the ability to prevent motor neuron loss, it is hypothesized that reduction of FUS protein will reverse or prevent disease progression in FUS-ALS patients. FUS-ALS is a rare, fatal, neurodegenerative disorder characterized by muscle weakness, loss of movement, and difficulty breathing and swallowing, resulting in a severely declining quality of life and eventually death. Current treatment options are extremely limited, with no medicines that significantly slow disease progression. Our partner, Otsuka, is responsible for global regulatory and commercialization activities, and costs for ulefnersen.</w:t>
      </w:r>
    </w:p>
    <w:p>
      <w:pPr>
        <w:pStyle w:val="TextBody"/>
        <w:bidi w:val="0"/>
        <w:spacing w:before="0" w:after="0"/>
        <w:ind w:left="0" w:right="0" w:firstLine="706"/>
        <w:jc w:val="both"/>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April 2021, we initiated a Phase 3 study of ulefnersen in patients with FUS-ALS designed to assess the efficacy, safety and tolerability of ulefnersen.</w:t>
      </w:r>
    </w:p>
    <w:p>
      <w:pPr>
        <w:pStyle w:val="TextBody"/>
        <w:bidi w:val="0"/>
        <w:spacing w:before="0" w:after="0"/>
        <w:ind w:left="0" w:right="0" w:firstLine="706"/>
        <w:jc w:val="both"/>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The FDA and EMA granted Orphan Drug designation to ulefnersen.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Our Innovative Mid-Stage Pipeline of Investigational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also have a rich mid-stage pipeline with numerous potentially transformational investigational medicines, including both Ionis-owned and partnered therapies. The table below lists our medicines in mid-stage development. For further information on our collaboration agreements, refer to the section titled, </w:t>
      </w:r>
      <w:r>
        <w:rPr>
          <w:rFonts w:ascii="Times New Roman;Times;serif" w:hAnsi="Times New Roman;Times;serif"/>
          <w:i/>
          <w:color w:val="000000"/>
          <w:sz w:val="20"/>
        </w:rPr>
        <w:t>Collaborative Arrangements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572250" cy="401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72250" cy="40195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Technology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For three decades through our innovations in science and technology, we have enhanced the profiles of RNA-targeted medicines in addition to advancing new approaches in genetic medicine. Our recent technology advancements have enabled us to advance programs with the potential for extended dosing and delivery to new tissues, such as muscle. We have also added capabilities to utilize small interfering RNA, or siRNA, and potentially gene editing in addition to our novel antisense technology, which gives us the potential to deliver medicines to a greater number of people living with serious diseases.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06"/>
        <w:jc w:val="both"/>
        <w:rPr>
          <w:rFonts w:ascii="Times New Roman;Times;serif" w:hAnsi="Times New Roman;Times;serif"/>
          <w:b/>
          <w:i/>
          <w:color w:val="000000"/>
          <w:sz w:val="20"/>
        </w:rPr>
      </w:pPr>
      <w:r>
        <w:rPr>
          <w:rFonts w:ascii="Times New Roman;Times;serif" w:hAnsi="Times New Roman;Times;serif"/>
          <w:b/>
          <w:i/>
          <w:color w:val="000000"/>
          <w:sz w:val="20"/>
        </w:rPr>
        <w:t>Overview of Ionis’ Technology</w:t>
      </w:r>
    </w:p>
    <w:p>
      <w:pPr>
        <w:pStyle w:val="TextBody"/>
        <w:bidi w:val="0"/>
        <w:spacing w:before="0" w:after="0"/>
        <w:ind w:left="0" w:right="0" w:firstLine="706"/>
        <w:jc w:val="both"/>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All of the medicines currently in our clinical pipeline use our antisense technology — an innovative platform for discovering first-in-class and/or best-in-class medicines. Antisense medicines target RNA, the intermediary that conveys genetic information from a gene to the protein synthesis machinery in the cell. By targeting RNA instead of proteins, we can use antisense technology to increase, decrease or alter the production of specific proteins. Most of our antisense medicines are designed to bind to mRNAs and inhibit the production of disease-causing proteins. Examples of these include WAINUA, TRYNGOLZA and donidalorsen. SPINRAZA is an example of an antisense medicine that modulates RNA splicing to increase protein production of the SMN protein, which is critical to the health and survival of nerve cells in the spinal cord that are responsible for neuro-muscular function. The SMN protein is deficient in people with SMA. Our antisense technology is also broadly applicable additional antisense mechanisms including decreasing toxic RNAs.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also now use siRNA technology, in addition to antisense technology to develop new medicines. Like antisense, siRNA medicines target RNA, and can decrease the production of specific proteins involved in disease. For each program we work on, we choose the approach that demonstrates the best potential product profile for the indication we are pursuing.</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Our advanced LIgand-Conjugated Antisense, or LICA, technology is a chemical technology we developed that involves attaching a molecule called a ligand that binds with receptors on the surface of cells in a highly specific manner. Because these receptors are often found only on certain cell types, LICA allows us to increase effective delivery of our antisense medicines with higher specificity to certain cell types that express these receptors relative to non-conjugated antisense medicines. We currently have an integrated assessment of data from multiple LICA medicines and clinical programs that demonstrates that our LICA technology for liver targets can increase potency by 20-30-fold over our non-LICA antisense medicines. Our LICA medicines have also demonstrated consistently favorable safety and tolerability in clinical trials, including in our Phase 3 studies of WAINUA (for ATTRv-PN), TRYNGOLZA (for FCS patients) and donidalorsen (for HAE).</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b/>
          <w:i/>
          <w:color w:val="000000"/>
          <w:sz w:val="20"/>
        </w:rPr>
      </w:pPr>
      <w:r>
        <w:rPr>
          <w:rFonts w:ascii="Times New Roman;Times;serif" w:hAnsi="Times New Roman;Times;serif"/>
          <w:b/>
          <w:i/>
          <w:color w:val="000000"/>
          <w:sz w:val="20"/>
        </w:rPr>
        <w:t>Emerging Technology Advancements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Our recent technology advancements have enabled us to create even more potent medicines amenable to new potential targets and tissue types. We have also diversified the approaches we can use in designing our medicines to reach more patients with severe diseases. Today our medicines and those entering our pipeline utilize our key technology advances, including Bicycle technology, siRNA technology and MsPA backbone chemistry. And through our Metagenomi collaboration, we added the potential to use gene editing, which modifies DNA.</w:t>
      </w:r>
    </w:p>
    <w:p>
      <w:pPr>
        <w:pStyle w:val="TextBody"/>
        <w:bidi w:val="0"/>
        <w:spacing w:before="0" w:after="0"/>
        <w:jc w:val="left"/>
        <w:rPr/>
      </w:pPr>
      <w:r>
        <w:rPr/>
      </w:r>
    </w:p>
    <w:p>
      <w:pPr>
        <w:pStyle w:val="TextBody"/>
        <w:bidi w:val="0"/>
        <w:spacing w:before="0" w:after="0"/>
        <w:ind w:left="706" w:right="0" w:hanging="0"/>
        <w:jc w:val="both"/>
        <w:rPr>
          <w:rFonts w:ascii="Times New Roman;Times;serif" w:hAnsi="Times New Roman;Times;serif"/>
          <w:color w:val="000000"/>
          <w:sz w:val="20"/>
          <w:u w:val="single"/>
        </w:rPr>
      </w:pPr>
      <w:r>
        <w:rPr>
          <w:rFonts w:ascii="Times New Roman;Times;serif" w:hAnsi="Times New Roman;Times;serif"/>
          <w:color w:val="000000"/>
          <w:sz w:val="20"/>
          <w:u w:val="single"/>
        </w:rPr>
        <w:t>Mesyl phosphoramidate Backbone Chemistry</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We designed our MsPA backbone chemistry to improve both therapeutic index and durability. It does this by increasing metabolic stability relative to the other backbone chemistries we utilize. We have also shown it can improve potency in certain circumstances and reduce non-specific interactions with proteins that can cause undesirable effects, such as proinflammatory effects. We currently have multiple new programs using our MsPA backbone in preclinical development.</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i/>
          <w:color w:val="000000"/>
          <w:sz w:val="20"/>
        </w:rPr>
      </w:pPr>
      <w:r>
        <w:rPr>
          <w:rFonts w:ascii="Times New Roman;Times;serif" w:hAnsi="Times New Roman;Times;serif"/>
          <w:i/>
          <w:color w:val="000000"/>
          <w:sz w:val="20"/>
        </w:rPr>
        <w:t>Bicycle Collaboration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2021, we entered into a collaboration with Bicycle Therapeutics that we expect can expand our LICA platform to target both skeletal and cardiac muscle, and potentially deliver medicines across the blood brain barrier. Bicycles are small, bicyclic peptides that have high affinity and selectivity for protein targets. Our collaboration with Bicycle allows us to utilize Bicycles that bind transferrin receptor 1 to facilitate the tissue specific delivery of oligonucleotide drugs (both antisense and siRNAs). We advanced our first program that utilizes Bicycle technology into preclinical development in 2023.</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u w:val="single"/>
        </w:rPr>
      </w:pPr>
      <w:r>
        <w:rPr>
          <w:rFonts w:ascii="Times New Roman;Times;serif" w:hAnsi="Times New Roman;Times;serif"/>
          <w:color w:val="000000"/>
          <w:sz w:val="20"/>
          <w:u w:val="single"/>
        </w:rPr>
        <w:t>Gene Editing and Metagenomi Collaboration</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with Metagenomi that leverages our extensive expertise in RNA-targeted therapeutics and Metagenomi’s next-generation gene editing systems to pursue a mix of validated and novel genetic targets with the goal of discovering and developing new drugs. These targets have the potential to expand therapeutic options for patients.</w:t>
      </w:r>
    </w:p>
    <w:p>
      <w:pPr>
        <w:pStyle w:val="TextBody"/>
        <w:bidi w:val="0"/>
        <w:spacing w:before="0" w:after="0"/>
        <w:jc w:val="left"/>
        <w:rPr/>
      </w:pPr>
      <w:r>
        <w:rPr/>
      </w:r>
    </w:p>
    <w:p>
      <w:pPr>
        <w:pStyle w:val="TextBody"/>
        <w:bidi w:val="0"/>
        <w:spacing w:before="0" w:after="0"/>
        <w:ind w:left="0" w:right="0" w:firstLine="706"/>
        <w:jc w:val="both"/>
        <w:rPr>
          <w:rFonts w:ascii="Times New Roman;Times;serif" w:hAnsi="Times New Roman;Times;serif"/>
          <w:color w:val="000000"/>
          <w:sz w:val="20"/>
        </w:rPr>
      </w:pPr>
      <w:r>
        <w:rPr>
          <w:rFonts w:ascii="Times New Roman;Times;serif" w:hAnsi="Times New Roman;Times;serif"/>
          <w:color w:val="000000"/>
          <w:sz w:val="20"/>
        </w:rPr>
        <w:t>Gene editing utilizes specific RNA-guided nucleases known as Cas enzymes to precisely and permanently modify a DNA sequence. Because of this, gene editing holds the promise of treatments that could provide long-term, potentially permanent, therapeutic benefits.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Gene editing is highly complementary and synergistic with RNA-targeted therapeutics. Both platforms rely on the same nucleic acid hybridization principals to precisely target nucleases to either RNA, in the case of RNase H and siRNA drugs, or to DNA in the case of Clustered Regularly Interspaced Short Palindromic Repeats, or CRISPR-Cas systems. This enables us to leverage our expertise in nucleic acids and modified nucleic acid chemistry with the goal to enhance gene editing’s ability to treat diseases for which there are limited treatment options.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Collaborative Arrangements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have established alliances with a number of leading global pharmaceutical companies. Our partners include the following companies, among others: AstraZeneca, Biogen, GSK, Novartis, Otsuka and Roche. Through our partnerships, we have earned both commercial revenue and a broad and sustaining base of R&amp;D revenue in the form of license fees, upfront payments and milestone payments. We are also eligible to receive royalties and additional milestones under our partnerships. Below, we include the significant terms of our collaboration agreements. For additional details, including other financial information, refer to Part IV, Item 15,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xml:space="preserve"> in the Notes to the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joint development and commercialization agreement with AstraZeneca to develop and commercialize eplontersen for the treatment of ATTR. The FDA and Health Canada approved eplontersen with the brand name, WAINUA, for ATTRv-PN, while the Medicines and Healthcare products Regulatory Agency, or MHRA, approved WAINUA for ATTRv-PN in the UK as WAINZUA. Under the agreement, we are jointly developing WAINUA with AstraZeneca worldwide for ATTRv-PN and ATTR cardiomyopathy, or ATTR-CM. We are jointly commercializing WAINUA with AstraZeneca in the U.S. We granted AstraZeneca exclusive rights to commercialize WAINUA outside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collaboration includes territory-specific development, commercial and medical affairs cost-sharing provisions. AstraZeneca is currently responsible for 55 percent of the costs associated with the ongoing global Phase 3 development program. AstraZeneca is responsible for the vast majority of the commercial and medical affairs costs in the U.S. and all costs associated with bringing WAINUA to market outside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development and approval milestone payments and sales milestone payments. In addition, we are eligible to receive up to mid-20 percent royalties for sales in the U.S. and tiered royalties up to the high teens for sales outside the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2024, we and AstraZeneca launched WAINUA in the U.S. for the treatment of adults with ATTRv-PN. As a result, we began earning royalties from WAINUA sales, which we recognize as commercial revenue in our consolidated statements of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inception through December 31, 2024, we have generated more than $520 million in payments under this collaboration, including milestone payments for the approval of WAINUA in the U.S. and UK, revenue we earned from cost sharing provisions and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Cardiovascular, Renal and Metabolic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have a collaboration with AstraZeneca focused on discovering and developing treatments for cardiovascular, renal and metabolic diseases, which we formed in 2015. Under our collaboration, AstraZeneca has licensed multiple medicines from us. AstraZeneca is responsible for global development, regulatory and commercialization activities and costs for each of the medicines it has licensed from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license fees, development milestone payments, regulatory milestone payments and sales milestone payments. In addition, we are eligible to receive tiered royalties up to 10 percent on net sales from any product that AstraZeneca successfully commercializes under this collaboration agreement. From inception through December 31, 2024, we have generated more than $370 million in payments under this collaboration.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Biogen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Marketed Medicines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2012, we entered into a collaboration agreement with Biogen to develop and commercialize SPINRAZA. We are receiving tiered royalties ranging from 11 percent to 15 percent on sales of SPINRAZA. Under our agreement, Biogen is responsible for global development, regulatory and commercialization activities and costs for SPINRAZA. From inception through December 31, 2024, we recognized more than $2.3 billion in total revenue under this collaboration, including approximately $1.9 billion in revenue from SPINRAZA royalties and more than $425 million in R&amp;D 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exclusively in-licensed patents related to SPINRAZA from Cold Spring Harbor Laboratory and the University of Massachusetts. We pay Cold Spring Harbor Laboratory and the University of Massachusetts a low single digit royalty on net sales of 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Biogen exercised its option to license QALSODY from us. We are receiving tiered royalties ranging from 11 percent to 15 percent on net sales of QALSODY. Under our agreement, Biogen is responsible for global development, regulatory and commercialization activities and costs for QALSODY. Biogen is also evaluating QALSODY as a potential treatment for presymptomatic SOD1-ALS patients in the ongoing ATLAS study. From inception through December 31, 2024, we recognized more than $110 million in total revenue under this collaboration, including approximately $4 million in revenue from QALSODY royalties and $108 million in R&amp;D 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New antisense medicines for the treatment of SMA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entered into a collaboration agreement with Biogen to identify new antisense medicines for the treatment of SMA. In 2021, Biogen exercised its option to license ION306. Biogen is solely responsible for the costs and expenses related to the development, manufacturing and potential future commercialization of ION306 following the option exercise. We will receive development and regulatory milestone payments from Biogen if new medicines, including ION306, advance towards marketing approval.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this collaboration, we are eligible to receive development, regulatory and sales milestone payments. In addition, we are eligible to receive tiered royalties from the mid-teens to mid-20 percent range on net sales from any product that Biogen successfully commercializes under this collaboration. From inception through December 31, 2024, we have generated $85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Neurology Collaborations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multiple collaborations with Biogen focused on using antisense technology to advance the treatment of neurological disorders, including our 2018 and 2012 neurology collaborations. Under these collaborations, Biogen gained exclusive rights to the use of our antisense technology to develop therapies for certain neurological diseases and the option to license certain medicines resulting from these collaborations.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each medicine under these collaborations, we are eligible to receive a license fee, development milestone payments and regulatory milestone payments. In addition, we are eligible to receive tiered royalties up to the 20 percent range on net sales from any products that Biogen successfully commercializes under these collaborations. We are currently advancing multiple programs under this collaboration. From inception through December 31, 2024, we have generated more than $1.3 billion in payments under these collaborations.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GSK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2010, we entered into a collaboration with GSK using our antisense drug discovery platform to discover and develop new medicines against targets for serious and rare diseases, including infectious diseases. Under our collaboration, GSK is developing bepirovirsen for the treatment of chronic HBV infection. In 2019, following positive Phase 2 results, GSK licensed our HBV program. GSK is responsible for all global development, regulatory and commercialization activities and costs for the HBV program.</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a license fee, development milestone payments, regulatory milestone payments and sales milestone payments if GSK successfully develops and commercializes bepirovirsen. In addition, we are eligible to receive tiered royalties up to the low-teens on net sales of bepirovirsen. From inception through December 31, 2024, we have generated more than $105 million in payments under the HBV program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Novartis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initiated a collaboration with Novartis to develop and commercialize pelacarsen for patients with elevated Lp(a) and CVD. Novartis is responsible for conducting and funding development and regulatory activities for pelacarsen, including a global Phase 3 cardiovascular outcomes study that Novartis initiated in 2019.</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a license fee, a development milestone payment, regulatory milestone payments and sales milestone payments. We are also eligible to receive tiered royalties in the mid-teens to low 20 percent range on net sales of pelacarsen. From inception through December 31, 2024, we have generated more than $275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Medicine for the Treatment of Lp(a)-Driven Cardiovascular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entered into a collaboration and license agreement with Novartis for the discovery, development and commercialization of a novel medicine for patients with Lp(a)-driven cardiovascular disease, or CVD. Novartis is solely responsible for the development, manufacturing and potential commercialization of the next generation Lp(a) medicine.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development milestone payments, regulatory milestone payments and sales milestone payments. In addition, we are eligible to receive tiered royalties ranging from 10 percent to 20 percent on net sales. From inception through December 31, 2024, we have generated more than $65 million in payments under this collaboration.</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Roche</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Sefaxersen for Complement-Mediated Diseases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an agreement with Roche to develop sefaxersen for the treatment of complement-mediated diseases, including IgAN, and geographic atrophy, or GA. In April 2023, Roche initiated a Phase 3 study of sefaxersen in patients with IgAN.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After positive data from a Phase 2 clinical study in patients with IgAN, Roche licensed sefaxersen in 2022. As a result, Roche is responsible for global development, regulatory and commercialization activities, and costs for sefaxersen.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July 2024, Roche discontinued development of sefaxersen for the treatment of GA, the advanced stage of dry age-related macular degeneration, following the completion of the Phase 2 study, which showed a favorable safety profile and target engagement, but insufficient efficacy to advance into Phase 3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 license fee, development milestone payments, regulatory milestone payments and sales milestone payments. We are also eligible to receive tiered royalties from the high teens to 20 percent on net sales. From inception through December 31, 2024, we have generated more than $140 million in payments under this collaboration.</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Huntington’s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entered into an agreement with Hoffmann-La Roche Inc. and F. Hoffmann-La Roche Ltd, collectively Roche, to develop treatments for Huntington’s disease, or HD, based on our antisense technology. Under the agreement, we discovered and developed tominersen, an investigational antisense medicine targeting HTT protein. We developed tominersen through completion of our Phase 1/2 clinical study in people with early-stage HD. In 2017, upon completion of the Phase 1/2 study, Roche exercised its option to license tominersen. As a result, Roche is responsible for all global development, regulatory and commercialization activities and costs for tominersen.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 license fee, development milestone payments, regulatory milestone payments and sales milestone payments as tominersen advances. In addition, we are eligible to receive milestone payments for each additional medicine successfully developed. We are also eligible to receive tiered royalties up to the mid-teens on net sales of any product resulting from this collaboration. From inception through December 31, 2024, we have generated more than $150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RNA-Targeting Medicines for Alzheimer’s Disease and Huntington’s Disease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2023, we entered into an agreement with Roche to develop two undisclosed early-stage programs for RNA-targeting investigational medicines for the treatment of Alzheimer’s disease, or AD, and HD. Under the agreement, we are responsible for advancing the two programs through preclinical studies and Roche is responsible for clinical development, manufacturing and commercialization of the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an upfront payment, development milestone payments and sales milestone payments. In addition, we are eligible to receive tiered royalties up to the mid-teens on net sales. From inception through December 31, 2024, we have generated more than $60 million in payments under this collaboration.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Commercialization Partnerships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Otsuka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an agreement with Otsuka Pharmaceutical Co., Ltd., or Otsuka, to commercialize donidalorsen in Europe. In the second quarter of 2024, we expanded the agreement to include commercialization rights for donidalorsen in the Asia-Pacific region. We are responsible for the ongoing development of 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2024, we entered into an agreement with Otsuka to commercialize ulefnersen worldwide. We are responsible for the ongoing development of 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collaborations, we are eligible to receive upfront payments, regulatory milestone payments and sales milestone payments. In addition, we are eligible to receive tiered royalties up to 30 percent on net sales. From inception through December 31, 2024, we have generated more than $110 million in payments under these collaborations.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PTC Therapeutics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2018, we entered into an exclusive license agreement with PTC Therapeutics to commercialize TEGSEDI and WAYLIVRA in Latin America and certain Caribbean countries. Under the license agreement, we are eligible to receive royalties from PTC in the mid-20 percent range on net sales for each medicine. In December 2021 and September 2023, we started receiving royalties from PTC for TEGSEDI and WAYLIVRA sales, respectively. From inception through December 31, 2024, we have generated more than $55 million in payments under this collaboration.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Swedish Orphan Biovitrum AB (Sobi)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began commercializing TEGSEDI and WAYLIVRA in Europe in January 2021 and TEGSEDI in North America in April 2021 through distribution agreements with Sobi. Under our agreements, we are responsible for supplying finished goods inventory to Sobi and Sobi is responsible for selling each medicine to the end customer. In exchange, we earn a distribution fee on net sales from Sobi for each medicine. In October 2023, our agreement for TEGSEDI in North America was terminated and we discontinued TEGSEDI in North America in 2024. From inception through December 31, 2024, we have generated more than $60 million in payments under this collaboration.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Theratechnologies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2024, we entered into an agreement with Theratechnologies, Inc. to commercialize donidalorsen and olezarsen in Canada. We are responsible for the ongoing development of donidalorsen and olezarsen.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Technology Enhancement Collaborations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Bicycle Therapeutics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2020, we entered into a collaboration agreement with Bicycle Therapeutics, or Bicycle, and obtained an option to license its peptide technology that we expect can expand our LICA platform to target both skeletal and cardiac muscle, and potentially deliver medicines across the blood brain barrier. In 2021, we exercised our option to license Bicycle’s technology. Our payment to Bicycle for licensing its technology included an equity investment in Bicycle. In addition, we will pay Bicycle milestone payments and royalties that are contingent on the achievement of certain development, regulatory and sales events.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Metagenomi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and license agreement with Metagenomi to research, develop and commercialize investigational medicines for up to four initial genetic targets, and, upon the achievement of certain development milestones, four additional genetic targets using gene editing technologies. As a result, we paid Metagenomi to license its technologies and will pay Metagenomi certain fees for the selection of genetic targets. In addition, we will pay Metagenomi milestone payments and royalties that are contingent on the achievement of certain development, regulatory and sales events. We will also reimburse Metagenomi for certain of its costs in conducting its research and drug discovery activities under the collaboration.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Vect-Horus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 license agreement with Vect-Horus to provide us with a worldwide, exclusive license for a specified number of targets using Vect-Horus’ platform technology “VECTrans” for systemic delivery of RNA-targeted therapeutics that may cross the blood-brain barrier and address targets in the central nervous system. We will pay Vect-Horus milestone payments and royalties that are contingent on the achievement of certain development, regulatory and sales events.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Other Agreements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Alnylam Pharmaceuticals, Inc.</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our agreement with Alnylam, we co-exclusively (with ourselves) licensed to Alnylam our patent estate relating to antisense motifs and mechanisms and oligonucleotide chemistry for double-stranded RNAi therapeutics, with Alnylam having the exclusive right to grant platform sublicenses for double-stranded RNAi. In exchange for such rights, we are eligible to earn a technology access fee, participate in fees from Alnylam’s partnering programs and earn future milestone and royalty payments from Alnylam. We retained exclusive rights to our patents for single-stranded antisense therapeutics and for a limited number of double-stranded RNAi therapeutic targets and all rights to single-stranded RNAi, or ssRNAi, therapeutics. In turn, Alnylam nonexclusively licensed to us its patent estate relating to antisense motifs and mechanisms and oligonucleotide chemistry to research, develop and commercialize single-stranded antisense therapeutics, ssRNAi therapeutics, and to research double-stranded RNAi compounds. We also received a license to develop and commercialize double-stranded RNAi therapeutics targeting a limited number of therapeutic targets on a nonexclusive basis. Additionally, in 2015, we and Alnylam entered into an alliance in which we cross-licensed intellectual property. Under this alliance, we and Alnylam each obtained exclusive license rights to four therapeutic programs. Alnylam granted us an exclusive, royalty-bearing license to its chemistry, RNA targeting mechanism and target-specific intellectual property for oligonucleotides against four targets, including FXI and Apo(a) and two other targets. In exchange, we granted Alnylam an exclusive, royalty-bearing license to our chemistry, RNA targeting mechanism and target-specific intellectual property for oligonucleotides against four other targets. Alnylam also granted us a royalty-bearing, non-exclusive license to new platform technology arising from May 2014 through April 2019 for single-stranded antisense therapeutics. In turn, we granted Alnylam a royalty-bearing, non-exclusive license to new platform technology arising from May 2014 through April 2019 for double-stranded RNAi therapeutics.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Manufacturing</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manufacture most of the active pharmaceutical ingredients, or APIs, we use for our research and development, or R&amp;D, activities ourselves. We have also manufactured API and commercial supply for our approved medicines. We have dedicated significant resources to develop ways to improve manufacturing efficiency and capacity. Since we can use variants of the same nucleotide building blocks and the same type of equipment to produce our oligonucleotide medicines, we found that the same techniques we used to efficiently manufacture one oligonucleotide medicine could help improve the manufacturing processes for our other medicines. By developing several proprietary chemical processes to scale up our manufacturing capabilities, we have greatly reduced the cost of producing oligonucleotide medicines. For example, we have significantly reduced the cost of raw materials through improved yield efficiency, while at the same time increasing our capacity to make our medicines. Through both our internal research and development programs and collaborations with outside vendors, we may achieve even greater efficiency and further cost reductions.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manufacturing facility is located in a 26,800 square foot building in Carlsbad, California. We purchased this building in 2017. In addition, we have a 25,800 square foot building that houses support functions for our manufacturing activities. We lease this facility under a lease that has a term ending in August 2026 with an option to extend the lease for an additional five-year period. Our manufacturing facility is subject to periodic inspections by the FDA and foreign equivalents to ensure that it is operating in compliance with current Good Manufacturing Practices, or cGMP, requirements.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part of our collaborations, we may agree to manufacture clinical trial material and/or commercial drug supply for our partners. For example, in the past we have manufactured clinical trial material for AstraZeneca, Biogen, GSK, Roche, and Novartis and commercial drug supply for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we have sufficient manufacturing capacity at our own facility or at contract manufacturing organizations, or CMOs, to meet our current internal research, development and potential commercial needs, as well as our obligations under existing agreements with our partners for research, development and commercial material. We and/or our CMOs manufacture process performance qualification batches and pre-approval inspection batches of our Phase 3 medicines that may be used for regulatory submissions and, pending regulatory approval, commercial sale. We believe our current network of CMOs are capable of providing sufficient quantities to meet anticipated commercial demands. Additionally, we continue to evaluate relationships with additional suppliers to increase overall capacity and diversify our supply chain. We plan to leverage our relationships with CMOs to maintain long-term supply at competitive prices in the future. While we believe that there are alternate sources of supply that can satisfy our commercial requirements, it is possible that identifying and establishing relationships with such sources, if necessary, could result in significant delay or material additional costs. We also could experience a disruption in supply from our current CMOs.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CMOs are subject to the FDA’s cGMP requirements and other rules and regulations prescribed by foreign regulatory authorities. We depend on our CMOs for continued compliance with cGMP requirements and applicable foreign standards.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Specifically, we have the following in place for our commercial medicines and our late-stage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TRYNGOLZA/Olezarsen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TRYNGOLZA’s commercial drug supply, we are using CMOs to produce API and finished goods.  For the ongoing olezarsen clinical studies, we and/or our CMOs have supplied the API and the finished drug product. We intend to leverage our relationships with CMOs to meet and maintain long-term commercial supply at competitive prices in the future. We plan to accomplish this through a combination of maintaining adequate levels of safety stock and increasing the batch sizes to support future indications.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WAINUA/Eplontersen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AstraZeneca is responsible for WAINUA’s commercial drug supply. Our CMOs supplied the API and the finished drug product for WAINUA’s Phase 3 program. Pursuant to our collaboration with AstraZeneca, we will supply WAINUA using CMOs for the ongoing clinical trials.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responsible for SPINRAZA drug supply.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Biogen is responsible for QALSODY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TEGSEDI and WAYLIVRA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TEGSEDI’s commercial drug supply, we are using CMOs to produce API and finished goods for ourselves, Sobi and PTC. For WAYLIVRA’s commercial drug supply, we are using API that we have manufactured and CMOs to produce the finished goods.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Donidalorsen, Zilganersen, 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and/or our CMOs have supplied the API and the finished drug product for donidalorsen, zilganersen and ulefnersen that we believe will be sufficient through the completion of the Phase 3 programs for each medicine, including process performance qualification batches.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ION582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and drug product for the ION582 Phase 1 and Phase 2 programs and will continue to supply drug for further clinical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and finished drug product for pelacarsen’s Phase 3 program. Pursuant to our collaboration with Novartis, Novartis is responsible for any further pelacarsen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Bepirovirsen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for bepirovirsen’s Phase 1 and Phase 2 programs. Pursuant to our collaboration with GSK, GSK is responsible for any further bepirovirsen drug supply.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Sefaxersen (IONIS-FB-L</w:t>
      </w:r>
      <w:r>
        <w:rPr>
          <w:rFonts w:ascii="Times New Roman;Times;serif" w:hAnsi="Times New Roman;Times;serif"/>
          <w:i/>
          <w:color w:val="000000"/>
          <w:position w:val="-2"/>
          <w:sz w:val="16"/>
          <w:sz w:val="20"/>
        </w:rPr>
        <w:t>Rx</w:t>
      </w:r>
      <w:r>
        <w:rPr>
          <w:rFonts w:ascii="Times New Roman;Times;serif" w:hAnsi="Times New Roman;Times;serif"/>
          <w:i/>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supplied API for the sefaxersen Phase 1 and Phase 2 IgAN programs. Pursuant to our collaboration with Roche, Roche is responsible for any further drug supply for sefaxersen.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Commercial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established sales and marketing capabilities to support our commercial launch of WAINUA and TRYNGOLZA in the U.S. and anticipated near-term commercial launch of donidalorsen. We began with our co-commercialization partnership with AstraZeneca for WAINUA in which we combine our experience in RNA-targeted therapeutics and deep knowledge of the TTR amyloidosis market with AstraZeneca’s global scale in drug development and commercialization to enable market penetration for the benefit of patients.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With our first independent commercial launch of TRYNGOLZA underway, we have entered a new chapter as a fully integrated commercial-stage biotechnology company. We have been refining our portfolio strategy and recruiting experienced professionals with relevant backgrounds in sales, marketing, patient education, market access, portfolio planning and market insight, new product commercial strategy and commercial operations in the pharmaceutical industry. We are focused on developing a unique and innovative approach to bring our medicines to patients living with serious diseases. We have built core capabilities and a commercial platform with the ability to scale as needed to meet our current and future commercialization needs. In addition, we established our TRYNGOLZA field sales team during 2024 and plan to build additional field teams as we approach each of our launches.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Medical Affairs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built medical affairs capabilities to disseminate information about our medicines and increase disease awareness through various channels of communication with key stakeholders. Our medical affairs function is responsible for funding and coordinating investigator-sponsored trials, communicating scientific and clinical information to healthcare providers, medical professionals and patients, and managing publications.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Intellectual Proprietary Rights</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rely on patents, trademarks, trade secrets, and proprietary know-how to develop and maintain a competitive position in RNA-targeted therapeutics generally and to protect our investment in specific products. To this end, we focus our resources on intellectual property, or IP, that drives value for our company.</w:t>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Product-Specific IP</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of our medicines is protected worldwide by product-specific patents claiming oligonucleotides having the nucleobase sequences and chemical modifications of our medicines; and methods of achieving cellular or clinical endpoints using such oligonucleotides. We pursue such patents in significant markets and/or countries for each medicine in development. We also seek to maximize patent term. In some cases, the patent term can be extended to recapture a portion of the term lost during regulatory review. Expiration dates listed below do not reflect any such extensions.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Commercial products are also protected by trademarks filed throughout the world.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Marketed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TRYNGOLZA/Olezarsen and ApoC-III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TRYNGOLZA (olezarsen) is protected from generic competition in the U.S. and Europe until at least 2034. Additional patent applications to protect olezarsen in other foreign jurisdictions are being pursued. The table below lists some key issued patents protecting olezarsen in the U.S. and Europe.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_Hlk187845266"/>
      <w:bookmarkStart w:id="5" w:name="_Hlk187845266"/>
      <w:bookmarkEnd w:id="5"/>
    </w:p>
    <w:tbl>
      <w:tblPr>
        <w:tblW w:w="10205" w:type="dxa"/>
        <w:jc w:val="left"/>
        <w:tblInd w:w="0" w:type="dxa"/>
        <w:tblLayout w:type="fixed"/>
        <w:tblCellMar>
          <w:top w:w="0" w:type="dxa"/>
          <w:left w:w="0" w:type="dxa"/>
          <w:bottom w:w="28" w:type="dxa"/>
          <w:right w:w="0" w:type="dxa"/>
        </w:tblCellMar>
      </w:tblPr>
      <w:tblGrid>
        <w:gridCol w:w="1053"/>
        <w:gridCol w:w="60"/>
        <w:gridCol w:w="855"/>
        <w:gridCol w:w="60"/>
        <w:gridCol w:w="3729"/>
        <w:gridCol w:w="60"/>
        <w:gridCol w:w="950"/>
        <w:gridCol w:w="60"/>
        <w:gridCol w:w="3378"/>
      </w:tblGrid>
      <w:tr>
        <w:trPr/>
        <w:tc>
          <w:tcPr>
            <w:tcW w:w="105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72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37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5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9,163,239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olezarsen</w:t>
            </w:r>
          </w:p>
        </w:tc>
      </w:tr>
      <w:tr>
        <w:trPr/>
        <w:tc>
          <w:tcPr>
            <w:tcW w:w="105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9,593,333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lipoprotein lipase deficiency with an apo-CIII specific inhibitor wherein triglyceride levels are reduced</w:t>
            </w:r>
          </w:p>
        </w:tc>
      </w:tr>
      <w:tr>
        <w:trPr/>
        <w:tc>
          <w:tcPr>
            <w:tcW w:w="105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9,157,082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apo-CIII antisense compounds for reducing pancreatitis and chylomicronemia and increasing HDL</w:t>
            </w:r>
          </w:p>
        </w:tc>
      </w:tr>
      <w:tr>
        <w:trPr/>
        <w:tc>
          <w:tcPr>
            <w:tcW w:w="105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2991656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C-III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olezarsen</w:t>
            </w:r>
          </w:p>
        </w:tc>
      </w:tr>
      <w:tr>
        <w:trPr/>
        <w:tc>
          <w:tcPr>
            <w:tcW w:w="105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2956176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lipoprotein lipase deficiency with an apo-CIII specific inhibitor wherein triglyceride levels are reduced</w:t>
            </w:r>
          </w:p>
        </w:tc>
      </w:tr>
      <w:tr>
        <w:trPr/>
        <w:tc>
          <w:tcPr>
            <w:tcW w:w="105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3357497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2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apo-CIII antisense compounds for reducing pancreatitis and chylomicronemia and increasing HDL</w:t>
            </w:r>
          </w:p>
        </w:tc>
      </w:tr>
      <w:tr>
        <w:trPr/>
        <w:tc>
          <w:tcPr>
            <w:tcW w:w="105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4119569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2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FOR USE IN 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administering olezarsen at identified doses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“TRYNGOLZA” is protected by trademarks throughout the world.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WAINUA/WAINZUA/Eplontersen and Transthyretin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WAINUA/WAINZUA (eplontersen) is protected from generic competition in the U.S. and Europe until at least 2034. Additional patent applications to protect WAINUA/WAINZUA in other foreign jurisdictions are being pursued. The table below lists some key issued patents protecting WAINUA/WAINZUA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99"/>
        <w:gridCol w:w="60"/>
        <w:gridCol w:w="950"/>
        <w:gridCol w:w="60"/>
        <w:gridCol w:w="4978"/>
        <w:gridCol w:w="60"/>
        <w:gridCol w:w="950"/>
        <w:gridCol w:w="60"/>
        <w:gridCol w:w="1988"/>
      </w:tblGrid>
      <w:tr>
        <w:trPr/>
        <w:tc>
          <w:tcPr>
            <w:tcW w:w="109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497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19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9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10,683,499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TTR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eplontersen</w:t>
            </w:r>
          </w:p>
        </w:tc>
      </w:tr>
      <w:tr>
        <w:trPr/>
        <w:tc>
          <w:tcPr>
            <w:tcW w:w="109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3524680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TTR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eplontersen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names “WAINUA” and “WAINZUA” are protected by trademarks owned by our commercial partner Astra Zeneca.</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SPINRAZA and Survival Motor Neuron 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SPINRAZA (nusinersen) is protected from generic competition in the U.S. until at least 2035 and in Europe until at least 2030 by a suite of patents. These issued patents include: (i) patents licensed from the University of Massachusetts drawn to antisense compounds having the sequence of SPINRAZA, independent of chemical modification, and uses of such compounds for treating SMA, (ii) joint patents with Cold Spring Harbor Laboratory claiming fully modified 2’-MOE compounds targeting SMN2, including the precise composition of matter of SPINRAZA and methods of using such compositions; and (iii) dosing and therapeutic methods of using such compounds and compositions. With Biogen’s license of SPINRAZA, we assigned our interest in these patents to Biogen. The table below lists some key issued patents protecting SPINRAZA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950"/>
        <w:gridCol w:w="60"/>
        <w:gridCol w:w="3509"/>
        <w:gridCol w:w="60"/>
        <w:gridCol w:w="950"/>
        <w:gridCol w:w="60"/>
        <w:gridCol w:w="3488"/>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50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4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10,266,822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increasing exon-7 containing SMN2 mRNA in a cell using an oligonucleotide having the sequence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8,110,560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antisense oligonucleotides having sequence of SPINRAZA to alter splicing of SMN2 and/or to treat SMA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1910395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Sequence and chemistry (full 2’-MOE)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3308788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Pharmaceutical compositions that include SPINRAZA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7,838,657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SPINAL MUSCULAR ATROPHY (SMA) TREATMENT VIA TARGETING OF SMN2 SPLICE SITE INHIBITORY SEQUENCES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having sequence of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8,361,977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Sequence and chemistry (full 2’-MOE) of SPINRAZA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8,980,853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administering SPINRAZA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9,717,750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administering SPINRAZA to a patient</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3449926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Pharmaceutical compositions that include SPINRAZA for treating SMA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3305302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 including SPINRAZA for treating SMA</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9,926,559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MODULATION OF SMN2 SPLICING IN A SUBJECT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SPINRAZA doses for treating SMA</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10,436,802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TREATING SPINAL MUSCULAR ATROPHY</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SPINRAZA dosing regimen for treating SMA</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“SPINRAZA” is protected throughout the world by trademarks owned by our commercial partner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QALSODY and SOD-1</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QALSODY is protected from generic competition in the U.S. and Europe until at least 2035. Additional patent applications designed to protect QALSODY in other foreign jurisdictions are being pursued. With Biogen’s license of QALSODY, we assigned our interest in these patents to Biogen. The table below lists some key issued patents protecting QALSODY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4"/>
        <w:gridCol w:w="60"/>
        <w:gridCol w:w="950"/>
        <w:gridCol w:w="60"/>
        <w:gridCol w:w="2559"/>
        <w:gridCol w:w="60"/>
        <w:gridCol w:w="950"/>
        <w:gridCol w:w="60"/>
        <w:gridCol w:w="4432"/>
      </w:tblGrid>
      <w:tr>
        <w:trPr/>
        <w:tc>
          <w:tcPr>
            <w:tcW w:w="107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255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443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10,385,341</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QALSODY</w:t>
            </w:r>
          </w:p>
        </w:tc>
      </w:tr>
      <w:tr>
        <w:trPr/>
        <w:tc>
          <w:tcPr>
            <w:tcW w:w="10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10,669,546</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a SOD-1 associated neurodegenerative disorder by administering QALSODY</w:t>
            </w:r>
          </w:p>
        </w:tc>
      </w:tr>
      <w:tr>
        <w:trPr/>
        <w:tc>
          <w:tcPr>
            <w:tcW w:w="10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10,968,453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5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a SOD-1 associated neurodegenerative disorder by administering a pharmaceutical composition of QALSODY</w:t>
            </w:r>
          </w:p>
        </w:tc>
      </w:tr>
      <w:tr>
        <w:trPr/>
        <w:tc>
          <w:tcPr>
            <w:tcW w:w="10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3126499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5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FOR MODULATING SOD-1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QALSODY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“QALSODY” is protected throughout the world by trademarks owned by our commercial partner Biogen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TEGSEDI and Transthyretin</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TEGSEDI (inotersen) is protected from generic competition in the U.S. and Europe until at least 2031. The table below lists some key issued patents protecting TEGSEDI</w:t>
      </w:r>
      <w:r>
        <w:rPr>
          <w:rFonts w:ascii="Times New Roman;Times;serif" w:hAnsi="Times New Roman;Times;serif"/>
          <w:color w:val="000000"/>
          <w:position w:val="-2"/>
          <w:sz w:val="16"/>
          <w:sz w:val="20"/>
        </w:rPr>
        <w:t> </w:t>
      </w:r>
      <w:r>
        <w:rPr>
          <w:rFonts w:ascii="Times New Roman;Times;serif" w:hAnsi="Times New Roman;Times;serif"/>
          <w:color w:val="000000"/>
          <w:sz w:val="20"/>
        </w:rPr>
        <w:t>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88"/>
        <w:gridCol w:w="60"/>
        <w:gridCol w:w="870"/>
        <w:gridCol w:w="60"/>
        <w:gridCol w:w="3183"/>
        <w:gridCol w:w="60"/>
        <w:gridCol w:w="950"/>
        <w:gridCol w:w="60"/>
        <w:gridCol w:w="3874"/>
      </w:tblGrid>
      <w:tr>
        <w:trPr/>
        <w:tc>
          <w:tcPr>
            <w:tcW w:w="108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18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87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88"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8,101,743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sequence and chemistry of TEGSEDI</w:t>
            </w:r>
          </w:p>
        </w:tc>
      </w:tr>
      <w:tr>
        <w:trPr/>
        <w:tc>
          <w:tcPr>
            <w:tcW w:w="10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8,697,860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8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DIAGNOSIS AND TREATMENT OF DISEASE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TEGSEDI</w:t>
            </w:r>
          </w:p>
        </w:tc>
      </w:tr>
      <w:tr>
        <w:trPr/>
        <w:tc>
          <w:tcPr>
            <w:tcW w:w="10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9,061,044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Sodium salt composition of TEGSEDI</w:t>
            </w:r>
          </w:p>
        </w:tc>
      </w:tr>
      <w:tr>
        <w:trPr/>
        <w:tc>
          <w:tcPr>
            <w:tcW w:w="108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9,399,774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8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7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transthyretin amyloidosis by administering TEGSEDI</w:t>
            </w:r>
          </w:p>
        </w:tc>
      </w:tr>
      <w:tr>
        <w:trPr/>
        <w:tc>
          <w:tcPr>
            <w:tcW w:w="108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2563920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TRANSTHYRETIN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87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TEGSEDI</w:t>
            </w:r>
          </w:p>
        </w:tc>
      </w:tr>
    </w:tbl>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name “TEGSEDI” is protected by trademark throughout the world.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WAYLIVRA and ApoC-III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Patents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WAYLIVRA (volanesorsen) is protected from generic competition in Europe until at least 2034. We have obtained patent claims in the U.S. and Europe drawn to the use of antisense compounds complementary to a broad active region of human ApoC-III, including the site targeted by WAYLIVRA. We have also obtained issued patents claiming the specific sequence and chemical composition of WAYLIVRA in the U.S. and Europe. The table below lists some key issued patents protecting WAYLIVRA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855"/>
        <w:gridCol w:w="60"/>
        <w:gridCol w:w="3714"/>
        <w:gridCol w:w="60"/>
        <w:gridCol w:w="950"/>
        <w:gridCol w:w="60"/>
        <w:gridCol w:w="3378"/>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71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37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9,157,082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using apo-CIII antisense compounds for reducing pancreatitis and chylomicronemia and increasing HDL</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9,593,333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7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lipoprotein lipase deficiency with an apo-CIII specific inhibitor wherein triglyceride levels are reduced</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2956176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APOLIPOPROTEIN C-III (APOCIII) EXPRESSION IN LIPOPROTEIN LIPASE DEFICIENT (LPLD) POPULATIONS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7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Apo-CIII specific inhibitors including WAYLIVRA for treating lipoprotein lipase deficiency or FCS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Trademark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name “WAYLIVRA” is protected by trademark in Europe.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Late-Stage Ionis-Owned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Donidalorsen and PKK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donidalorsen is protected from generic competition in the U.S. and Europe until at least 2035. Additional patent applications to protect donidalorsen in other foreign jurisdictions are being pursued. The table below lists some key issued patents protecting donidalorsen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82"/>
        <w:gridCol w:w="60"/>
        <w:gridCol w:w="950"/>
        <w:gridCol w:w="60"/>
        <w:gridCol w:w="3617"/>
        <w:gridCol w:w="60"/>
        <w:gridCol w:w="950"/>
        <w:gridCol w:w="60"/>
        <w:gridCol w:w="3366"/>
      </w:tblGrid>
      <w:tr>
        <w:trPr/>
        <w:tc>
          <w:tcPr>
            <w:tcW w:w="108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61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36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8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9,315,811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MODULATING KALLIKREIN (KLKB1)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HAE</w:t>
            </w:r>
          </w:p>
        </w:tc>
      </w:tr>
      <w:tr>
        <w:trPr/>
        <w:tc>
          <w:tcPr>
            <w:tcW w:w="108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2717923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FOR MODULATING KALLIKREIN (KLKB1)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for use in treating an inflammatory condition, including HAE</w:t>
            </w:r>
          </w:p>
        </w:tc>
      </w:tr>
      <w:tr>
        <w:trPr/>
        <w:tc>
          <w:tcPr>
            <w:tcW w:w="108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10,294,477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1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PKK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donidalorsen</w:t>
            </w:r>
          </w:p>
        </w:tc>
      </w:tr>
      <w:tr>
        <w:trPr/>
        <w:tc>
          <w:tcPr>
            <w:tcW w:w="108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3137091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1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PKK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donidalorsen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Zilganersen and GFAP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zilganersen is protected from generic competition in the U.S. until at least 2041. A patent application designed to protect zilganersen from generic competition is being pursued in Europe; a patent issuing from that application would have term until at least 2041. The table below lists a key issued patent protecting zilganersen in the U.S. and a pending application in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01"/>
        <w:gridCol w:w="60"/>
        <w:gridCol w:w="1818"/>
        <w:gridCol w:w="60"/>
        <w:gridCol w:w="4085"/>
        <w:gridCol w:w="60"/>
        <w:gridCol w:w="950"/>
        <w:gridCol w:w="60"/>
        <w:gridCol w:w="2011"/>
      </w:tblGrid>
      <w:tr>
        <w:trPr/>
        <w:tc>
          <w:tcPr>
            <w:tcW w:w="110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81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Application No.)</w:t>
            </w:r>
          </w:p>
        </w:tc>
        <w:tc>
          <w:tcPr>
            <w:tcW w:w="60" w:type="dxa"/>
            <w:tcBorders/>
            <w:tcMar>
              <w:bottom w:w="0" w:type="dxa"/>
            </w:tcMar>
            <w:vAlign w:val="center"/>
          </w:tcPr>
          <w:p>
            <w:pPr>
              <w:pStyle w:val="TableContents"/>
              <w:bidi w:val="0"/>
              <w:spacing w:before="0" w:after="283"/>
              <w:jc w:val="left"/>
              <w:rPr/>
            </w:pPr>
            <w:r>
              <w:rPr/>
              <w:t> </w:t>
            </w:r>
          </w:p>
        </w:tc>
        <w:tc>
          <w:tcPr>
            <w:tcW w:w="408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20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10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11,786,546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8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MODULATING GFAP</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zilganersen</w:t>
            </w:r>
          </w:p>
        </w:tc>
      </w:tr>
      <w:tr>
        <w:trPr/>
        <w:tc>
          <w:tcPr>
            <w:tcW w:w="110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(20846055.0)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8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MODULATING GFAP</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zilganersen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ION582 and UBE3A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ION582 is protected from generic competition in the U.S. until at least 2040. A patent application designed to protect ION582 from generic competition is being pursued in Europe; a patent issuing from that application would have term until at least 2040. The table below lists a key issued patent protecting ION582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7"/>
        <w:gridCol w:w="60"/>
        <w:gridCol w:w="950"/>
        <w:gridCol w:w="60"/>
        <w:gridCol w:w="2884"/>
        <w:gridCol w:w="60"/>
        <w:gridCol w:w="950"/>
        <w:gridCol w:w="60"/>
        <w:gridCol w:w="4104"/>
      </w:tblGrid>
      <w:tr>
        <w:trPr/>
        <w:tc>
          <w:tcPr>
            <w:tcW w:w="107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288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410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11,261,446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MODULATING UBE3A-ATS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0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ION582</w:t>
            </w:r>
          </w:p>
        </w:tc>
      </w:tr>
      <w:tr>
        <w:trPr/>
        <w:tc>
          <w:tcPr>
            <w:tcW w:w="107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9,617,539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8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UBE3A-ATS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0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Angelman syndrome with an antisense compound targeting a region of UBE3A-ATS</w:t>
            </w:r>
          </w:p>
        </w:tc>
      </w:tr>
      <w:tr>
        <w:trPr/>
        <w:tc>
          <w:tcPr>
            <w:tcW w:w="107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3770258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8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UBE3A-ATS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0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complementary to a region of UBE3A-ATS for use in treating Angelman syndrome</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i/>
          <w:color w:val="000000"/>
          <w:sz w:val="20"/>
        </w:rPr>
      </w:pPr>
      <w:r>
        <w:rPr>
          <w:rFonts w:ascii="Times New Roman;Times;serif" w:hAnsi="Times New Roman;Times;serif"/>
          <w:i/>
          <w:color w:val="000000"/>
          <w:sz w:val="20"/>
        </w:rPr>
        <w:t>Late-Stage Partnered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Bepirovirsen and Hepatitis B Virus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bepirovirsen is protected from generic competition in the U.S. and Europe until at least 2032. Additional patent protection designed to protect bepirovirsen in other foreign jurisdictions is being pursued. With GSK’s license of bepirovirsen, we assigned our interest in these patents to GSK. The table below lists some key issued patents protecting bepirovirsen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65"/>
        <w:gridCol w:w="60"/>
        <w:gridCol w:w="884"/>
        <w:gridCol w:w="60"/>
        <w:gridCol w:w="4732"/>
        <w:gridCol w:w="60"/>
        <w:gridCol w:w="950"/>
        <w:gridCol w:w="60"/>
        <w:gridCol w:w="2234"/>
      </w:tblGrid>
      <w:tr>
        <w:trPr/>
        <w:tc>
          <w:tcPr>
            <w:tcW w:w="116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8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473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2234"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165" w:type="dxa"/>
            <w:tcBorders/>
            <w:shd w:fill="CCEEFF" w:val="clear"/>
            <w:tcMar>
              <w:bottom w:w="0" w:type="dxa"/>
            </w:tcMar>
            <w:vAlign w:val="center"/>
          </w:tcPr>
          <w:p>
            <w:pPr>
              <w:pStyle w:val="TableContents"/>
              <w:bidi w:val="0"/>
              <w:spacing w:before="0" w:after="0"/>
              <w:ind w:left="0" w:right="65" w:hanging="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8,642,752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3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HEPATITIS B VIRUS (HBV)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4"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bepirovirsen</w:t>
            </w:r>
          </w:p>
        </w:tc>
      </w:tr>
      <w:tr>
        <w:trPr/>
        <w:tc>
          <w:tcPr>
            <w:tcW w:w="116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3505528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3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MODULATION OF HEPATITIS B VIRUS (HBV)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4"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bepirovirsen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Pelacarsen and Apo(a)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pelacarsen is protected from generic competition in the U.S. and Europe until at least 2034. Additional patent protection designed to protect pelacarsen in other foreign jurisdictions is being pursued. The table below lists some key issued patents protecting pelacarsen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8"/>
        <w:gridCol w:w="60"/>
        <w:gridCol w:w="950"/>
        <w:gridCol w:w="60"/>
        <w:gridCol w:w="3048"/>
        <w:gridCol w:w="60"/>
        <w:gridCol w:w="950"/>
        <w:gridCol w:w="60"/>
        <w:gridCol w:w="3949"/>
      </w:tblGrid>
      <w:tr>
        <w:trPr/>
        <w:tc>
          <w:tcPr>
            <w:tcW w:w="106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04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94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9,574,193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lowering Apo(a) and/or Lp(a) levels with an oligonucleotide complementary within the nucleotide region of Apo(a) targeted by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10,478,448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treating hyperlipidemia with an oligonucleotide complementary within the nucleotide region of Apo(a) targeted by pelacarsen</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9,884,072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complementary within the nucleotide region of Apo(a) targeted by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2855500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AND COMPOSITIONS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complementary within the nucleotide region of Apo(a) targeted by pelacarsen for decreasing Apo(a) expression</w:t>
            </w:r>
          </w:p>
        </w:tc>
      </w:tr>
      <w:tr>
        <w:trPr/>
        <w:tc>
          <w:tcPr>
            <w:tcW w:w="106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9,181,550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(a)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4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pelacarsen</w:t>
            </w:r>
          </w:p>
        </w:tc>
      </w:tr>
      <w:tr>
        <w:trPr/>
        <w:tc>
          <w:tcPr>
            <w:tcW w:w="106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2992009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APOLIPOPROTEIN (a)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4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pelacarsen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Sefaxersen and Factor B</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sefaxersen is protected from generic competition in the U.S. and Europe until at least 2035. Additional patent protection designed to protect sefaxersen in other foreign jurisdictions is being pursued. The table below lists some key issued patents protecting sefaxersen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6"/>
        <w:gridCol w:w="60"/>
        <w:gridCol w:w="950"/>
        <w:gridCol w:w="60"/>
        <w:gridCol w:w="3906"/>
        <w:gridCol w:w="60"/>
        <w:gridCol w:w="950"/>
        <w:gridCol w:w="60"/>
        <w:gridCol w:w="3083"/>
      </w:tblGrid>
      <w:tr>
        <w:trPr/>
        <w:tc>
          <w:tcPr>
            <w:tcW w:w="107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90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08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3043827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MODULATORS OF COMPLEMENT FACTOR 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 comprising the antisense oligonucleotide portion of sefaxersen</w:t>
            </w:r>
          </w:p>
        </w:tc>
      </w:tr>
      <w:tr>
        <w:trPr/>
        <w:tc>
          <w:tcPr>
            <w:tcW w:w="107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10,280,423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6"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COMPLEMENT FACTOR B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sefaxersen</w:t>
            </w:r>
          </w:p>
        </w:tc>
      </w:tr>
      <w:tr>
        <w:trPr/>
        <w:tc>
          <w:tcPr>
            <w:tcW w:w="107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3137596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6"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COMPOSITIONS AND METHODS FOR MODULATING COMPLEMENT FACTOR B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sefaxersen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Ulefnersen and FUS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Patent applications designed to protect ulefnersen from generic competition are being pursued in the U.S. and Europe. Patents issued from these applications would have terms until at least 2040. The table below lists some key pending patent applications designed to protect ulefnersen in the U.S. and Europe:</w:t>
      </w:r>
    </w:p>
    <w:p>
      <w:pPr>
        <w:pStyle w:val="TextBody"/>
        <w:bidi w:val="0"/>
        <w:spacing w:before="0" w:after="0"/>
        <w:ind w:left="0" w:right="0" w:firstLine="720"/>
        <w:jc w:val="both"/>
        <w:rPr/>
      </w:pPr>
      <w:r>
        <w:rPr/>
      </w:r>
    </w:p>
    <w:tbl>
      <w:tblPr>
        <w:tblW w:w="10205" w:type="dxa"/>
        <w:jc w:val="left"/>
        <w:tblInd w:w="0" w:type="dxa"/>
        <w:tblLayout w:type="fixed"/>
        <w:tblCellMar>
          <w:top w:w="0" w:type="dxa"/>
          <w:left w:w="0" w:type="dxa"/>
          <w:bottom w:w="28" w:type="dxa"/>
          <w:right w:w="0" w:type="dxa"/>
        </w:tblCellMar>
      </w:tblPr>
      <w:tblGrid>
        <w:gridCol w:w="1101"/>
        <w:gridCol w:w="60"/>
        <w:gridCol w:w="1266"/>
        <w:gridCol w:w="60"/>
        <w:gridCol w:w="4695"/>
        <w:gridCol w:w="60"/>
        <w:gridCol w:w="950"/>
        <w:gridCol w:w="60"/>
        <w:gridCol w:w="1953"/>
      </w:tblGrid>
      <w:tr>
        <w:trPr/>
        <w:tc>
          <w:tcPr>
            <w:tcW w:w="110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126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Application No.</w:t>
            </w:r>
          </w:p>
        </w:tc>
        <w:tc>
          <w:tcPr>
            <w:tcW w:w="60" w:type="dxa"/>
            <w:tcBorders/>
            <w:tcMar>
              <w:bottom w:w="0" w:type="dxa"/>
            </w:tcMar>
            <w:vAlign w:val="center"/>
          </w:tcPr>
          <w:p>
            <w:pPr>
              <w:pStyle w:val="TableContents"/>
              <w:bidi w:val="0"/>
              <w:spacing w:before="0" w:after="283"/>
              <w:jc w:val="left"/>
              <w:rPr/>
            </w:pPr>
            <w:r>
              <w:rPr/>
              <w:t> </w:t>
            </w:r>
          </w:p>
        </w:tc>
        <w:tc>
          <w:tcPr>
            <w:tcW w:w="469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195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101"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17/613,183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REDUCING FUS EXPRESSION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3"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ulefnersen</w:t>
            </w:r>
          </w:p>
        </w:tc>
      </w:tr>
      <w:tr>
        <w:trPr/>
        <w:tc>
          <w:tcPr>
            <w:tcW w:w="1101"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20815459.1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REDUCING FUS EXPRESSION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3"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Composition of ulefnersen</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Platform IP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the IP that provides exclusivity for specific products, we also pursue IP that provides exclusivity for our core technology in the field of oligonucleotides and RNA-targeting therapeutics more generally. Our core technology patents include claims to chemically modified oligonucleotides as well as designs utilizing these chemical modifications. Because these core claims are independent of specific therapeutic target, nucleic acid sequence, or clinical indication, they may reach several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Chemically Modified Nucleosides and Oligonucleotides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most broadly applicable of our patents are those that claim modified nucleosides and oligonucleotides comprising the modified nucleosides that we incorporate into our medicines to increase their therapeutic efficacy. The following are some of our patents in this category in the U.S. and Europe: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70"/>
        <w:gridCol w:w="60"/>
        <w:gridCol w:w="950"/>
        <w:gridCol w:w="60"/>
        <w:gridCol w:w="3438"/>
        <w:gridCol w:w="60"/>
        <w:gridCol w:w="950"/>
        <w:gridCol w:w="60"/>
        <w:gridCol w:w="3557"/>
      </w:tblGrid>
      <w:tr>
        <w:trPr/>
        <w:tc>
          <w:tcPr>
            <w:tcW w:w="107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343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355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7,399,845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7,741,457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8,022,193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containing cEt nucleoside analogs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1984381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cEt nucleosides and oligonucleotides containing these nucleoside analogs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2314594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6-MODIFIED BICYCLIC NUCLEIC ACID ANALOGS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Oligonucleotides containing cEt nucleoside analogs and methods of use</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7,569,686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COMPOUNDS AND METHODS FOR SYNTHESIS OF BICYCLIC NUCLEIC ACID ANALOGS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Methods of synthesizing cEt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2092065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2’-modifed and LNA nucleosides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2410053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wings comprised of 2’-MOE and bicyclic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2410054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a 2’-modifed nucleoside in the 5’-wing and a bicyclic nucleoside in the 3’-wing</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9,550,988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BNA nucleosides and 2’-MOE nucleosides</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10,493,092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ANTISENSE COMPOUNDS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BNA nucleosides and 2’-MOE nucleosides and/or 2’-OMe nucleosides</w:t>
            </w:r>
          </w:p>
        </w:tc>
      </w:tr>
      <w:tr>
        <w:trPr/>
        <w:tc>
          <w:tcPr>
            <w:tcW w:w="107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3067421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3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OLIGOMERIC COMPOUNDS COMPRISING BICYCLIC NUCLEOTIDES AND USES THEREOF</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at least one bicyclic, one 2’-modified nucleoside and one 2’-deoxynucleoside</w:t>
            </w:r>
          </w:p>
        </w:tc>
      </w:tr>
      <w:tr>
        <w:trPr/>
        <w:tc>
          <w:tcPr>
            <w:tcW w:w="107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11,629,348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3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LINKAGE MODIFIED OLIGONUCLEOTIDES AND USES THEREOF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Gapmer oligonucleotides having 2-4 mesyl phosphoramidate internucleoside linkages at specified positions in the gap</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LIgand-Conjugated Antisense (LICA) Technology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have patent claims to new chemistries created to enhance targeting of antisense medicines to specific tissues and cells to improve a drug’s properties. We designed our GalNAc LICA medicines to provide an increase in potency for targets in the liver. We have successfully obtained issued patent claims covering our LICA technology conjugated to any modified oligonucleotide, including gapmers, double-stranded siRNA compounds, and fully modified oligonucleotides. The following patents are some examples of our issued patents in this category:</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069"/>
        <w:gridCol w:w="60"/>
        <w:gridCol w:w="856"/>
        <w:gridCol w:w="60"/>
        <w:gridCol w:w="2228"/>
        <w:gridCol w:w="60"/>
        <w:gridCol w:w="950"/>
        <w:gridCol w:w="60"/>
        <w:gridCol w:w="4862"/>
      </w:tblGrid>
      <w:tr>
        <w:trPr/>
        <w:tc>
          <w:tcPr>
            <w:tcW w:w="1069"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56"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Patent No.</w:t>
            </w:r>
          </w:p>
        </w:tc>
        <w:tc>
          <w:tcPr>
            <w:tcW w:w="60" w:type="dxa"/>
            <w:tcBorders/>
            <w:tcMar>
              <w:bottom w:w="0" w:type="dxa"/>
            </w:tcMar>
            <w:vAlign w:val="center"/>
          </w:tcPr>
          <w:p>
            <w:pPr>
              <w:pStyle w:val="TableContents"/>
              <w:bidi w:val="0"/>
              <w:spacing w:before="0" w:after="283"/>
              <w:jc w:val="left"/>
              <w:rPr/>
            </w:pPr>
            <w:r>
              <w:rPr/>
              <w:t> </w:t>
            </w:r>
          </w:p>
        </w:tc>
        <w:tc>
          <w:tcPr>
            <w:tcW w:w="222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w:t>
            </w:r>
          </w:p>
        </w:tc>
        <w:tc>
          <w:tcPr>
            <w:tcW w:w="60" w:type="dxa"/>
            <w:tcBorders/>
            <w:tcMar>
              <w:bottom w:w="0" w:type="dxa"/>
            </w:tcMar>
            <w:vAlign w:val="center"/>
          </w:tcPr>
          <w:p>
            <w:pPr>
              <w:pStyle w:val="TableContents"/>
              <w:bidi w:val="0"/>
              <w:spacing w:before="0" w:after="283"/>
              <w:jc w:val="left"/>
              <w:rPr/>
            </w:pPr>
            <w:r>
              <w:rPr/>
              <w:t> </w:t>
            </w:r>
          </w:p>
        </w:tc>
        <w:tc>
          <w:tcPr>
            <w:tcW w:w="4862"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Description of Claims</w:t>
            </w:r>
          </w:p>
        </w:tc>
      </w:tr>
      <w:tr>
        <w:trPr/>
        <w:tc>
          <w:tcPr>
            <w:tcW w:w="10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9,127,276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6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LICA conjugated to any group of nucleosides, including gapmers, double-stranded siRNA compounds, and fully modified oligonucleotides</w:t>
            </w:r>
          </w:p>
        </w:tc>
      </w:tr>
      <w:tr>
        <w:trPr/>
        <w:tc>
          <w:tcPr>
            <w:tcW w:w="1069"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9,181,549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28"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62"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conjugate having our preferred linker and cleavable moiety conjugated to any oligomeric compound or any nucleoside having a 2’-MOE modification or a cEt modification</w:t>
            </w:r>
          </w:p>
        </w:tc>
      </w:tr>
      <w:tr>
        <w:trPr/>
        <w:tc>
          <w:tcPr>
            <w:tcW w:w="1069"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Europe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2991661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2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CONJUGATED ANTISENSE COMPOUNDS AND THEIR 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62"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Preferred THA LICA conjugated to any group of nucleosides, including gapmers, double-stranded siRNA compounds, and fully modified oligonucleotides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Manufacturing</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own patents claiming methods of manufacturing and purifying oligonucleotides and related compounds. These patents claim methods for improving oligonucleotide drug manufacturing, including processes for large-scale oligonucleotide synthesis and purification.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Government Regulation</w:t>
      </w:r>
    </w:p>
    <w:p>
      <w:pPr>
        <w:pStyle w:val="TextBody"/>
        <w:bidi w:val="0"/>
        <w:spacing w:before="0" w:after="0"/>
        <w:jc w:val="both"/>
        <w:rPr/>
      </w:pPr>
      <w:r>
        <w:rPr/>
      </w:r>
    </w:p>
    <w:p>
      <w:pPr>
        <w:pStyle w:val="TextBody"/>
        <w:bidi w:val="0"/>
        <w:spacing w:before="0" w:after="0"/>
        <w:ind w:left="0" w:right="0" w:firstLine="700"/>
        <w:jc w:val="both"/>
        <w:rPr>
          <w:rFonts w:ascii="Times New Roman;Times;serif" w:hAnsi="Times New Roman;Times;serif"/>
          <w:color w:val="000000"/>
          <w:sz w:val="20"/>
        </w:rPr>
      </w:pPr>
      <w:r>
        <w:rPr>
          <w:rFonts w:ascii="Times New Roman;Times;serif" w:hAnsi="Times New Roman;Times;serif"/>
          <w:color w:val="000000"/>
          <w:sz w:val="20"/>
        </w:rPr>
        <w:t>Regulation by government authorities in the U.S. and other countries is a significant component in the development, manufacture and commercialization of pharmaceutical products and services. In addition to regulations enforced by the FDA and relevant foreign regulatory authorities, we are also subject to regulation under the Occupational Safety and Health Act, the Environmental Protection Act, the Toxic Substances Control Act, the Resource Conservation and Recovery Act and other present and potential future federal, state and local regulations.</w:t>
      </w:r>
    </w:p>
    <w:p>
      <w:pPr>
        <w:pStyle w:val="TextBody"/>
        <w:bidi w:val="0"/>
        <w:spacing w:before="0" w:after="0"/>
        <w:ind w:left="0" w:right="0" w:firstLine="70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Extensive regulation by the U.S. and foreign governmental authorities governs the development, manufacture and sale of our medicines. In particular, our medicines are subject to a number of approval requirements by the FDA in the U.S. under the Federal Food, Drug and Cosmetic Act, or FDCA, and other laws and by comparable agencies in those foreign countries in which we conduct business. The FDCA and other various federal, state and foreign statutes govern or influence the research, testing, manufacture, safety, labeling, storage, recordkeeping, approval, promotion, marketing, distribution, post-approval monitoring and reporting, sampling, quality, and import and export of our medicines. State, local, and other authorities also regulate pharmaceutical manufacturing facilities and procedures.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manufacturing facility and our CMOs are subject to periodic inspection by the FDA and other foreign equivalents to ensure that they are operating in compliance with cGMP requirements. In addition, marketing authorization for each new medicine may require a rigorous manufacturing pre-approval inspection by regulatory authorities. Post approval, there are strict regulations regarding changes to the manufacturing process, and, depending on the significance of the change, changes may require prior FDA approval. FDA regulations also require investigation and correction of any deviations from cGMP and impose reporting and documentation requirements upon us and any third-party manufacturers that we may decide to use.</w:t>
      </w:r>
    </w:p>
    <w:p>
      <w:pPr>
        <w:pStyle w:val="TextBody"/>
        <w:bidi w:val="0"/>
        <w:spacing w:before="0" w:after="0"/>
        <w:ind w:left="0" w:right="0" w:firstLine="720"/>
        <w:jc w:val="both"/>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must approve any new medicine before a manufacturer can market it in the U.S. In order to obtain approval, we and our partners must complete clinical studies and prepare and submit an NDA to the FDA. If the FDA approves a medicine, it will issue an approval letter authorizing commercial marketing of the medicine and may require a risk evaluation and mitigation strategy, or REMS, to help ensure the benefits of the medicine outweigh the potential risks. The requirements for REMS can materially affect the potential market and profitability of our medicines. In foreign jurisdictions, the drug approval process is similarly demanding.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Pricing and Reimbursement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any approved medicine, domestic and foreign sales of the medicine depend, in part, on the availability and amount of coverage and adequate reimbursement by third-party payers, including governments and private health plans. The process for determining whether a payer will provide coverage for a product may be separate from the process for setting the reimbursement rate that the payer will pay for the product, or procedures that utilize such product. Private health plans may seek to manage cost and use of our medicines by implementing coverage and reimbursement limitations. For example, third-party payers may limit coverage to specific products on an approved list, or formulary, which might not include all FDA-approved products for a particular indication. Moreover, a payer’s decision to provide coverage for a medicine does not imply that an adequate reimbursement rate will be approved. Additionally, coverage and reimbursement for drugs can differ significantly from payer to payer. One third-party payer’s decision to cover a particular medicine does not ensure that other payers will also provide coverage for the medicine or will provide coverage at an adequate reimbursement rate.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Third-party payers are increasingly challenging the price and examining the medical necessity and cost-effectiveness of medicines and services, in addition to their safety and efficacy. To obtain coverage and reimbursement for any medicine that might be approved for sale, we may need to conduct expensive pharmacoeconomic studies to demonstrate the medical necessity and cost-effectiveness of our medicine. These studies will be in addition to the studies required to obtain regulatory approvals. If third-party payers do not consider a medicine to be cost-effective compared to other available therapies, they may not cover the medicine after approval as a benefit under their plans or, if they do, the level of payment may not be sufficient to sell such medicine at a profit.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certain jurisdictions, governments may also regulate or influence coverage, reimbursement and/or pricing of our medicines to control cost or affect use. In the European community, governments influence the price of drugs through their pricing and reimbursement rules and control of national health care systems that fund a large part of the cost of those medicines to consumers. Some jurisdictions operate positive and negative list systems under which medicines may only be marketed once a reimbursement price has been agreed to by the government. To obtain reimbursement or pricing approval, some of these countries may require the completion of clinical studies that compare the cost effectiveness of a particular drug candidate to currently available therapies. Other member states allow companies to fix their own prices for medicines but monitor and control company profits.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marketability of any medicine for which we receive regulatory approval for commercial sale may suffer if the government or third-party payers fail to provide adequate coverage and reimbursement. In addition, the focus on cost containment measures in the U.S. and other countries has increased and we expect will continue to increase the pressure on pharmaceutical pricing. Coverage policies and third-party reimbursement rates may change at any time. Even if we attain favorable coverage and reimbursement status for one or more medicines for which we receive regulatory approval, less favorable coverage policies and reimbursement rates may be implemented in the future.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Healthcare Reform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Both the federal and state governments in the U.S. and foreign governments continue to propose and pass new legislation and regulations designed to contain or reduce the cost of healthcare.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has also been heightened governmental scrutiny over the manner in which manufacturers set prices for their marketed products, which has resulted in efforts to bring more transparency to drug pricing, review the relationship between pricing and manufacturer patient programs, and reform government program reimbursement methodologies for medicines. For example, in August 2022, the Inflation Reduction Act of 2022, or the IRA, was signed into law, which includes key actions aimed at reducing the costs of prescription drugs and allows HHS to negotiate the price of certain single-source drugs covered under Medicare and establish a price cap on such drugs, known as the Maximum Fair Price. There are important exemptions to the Maximum Fair Price, including for medications that are orphan drug designated and approved for only one rare disease, and drugs with low Medicare spend as defined by the Centers for Medicare &amp; Medicaid Services.  The IRA, among other things, (1) directs the U.S. Department of Health and Human Services, or HHS, to negotiate, through a negotiation program, the price of certain single-source drugs and biologics that have been on the market for at least seven years covered under Medicare, or the Medicare Drug Price Negotiation Program, and (2) imposes rebates under Medicare Part B and Medicare Part D to penalize price increases that outpace inflation. These provisions began to take effect progressively starting in fiscal year 2023, although the Medicare Drug Price Negotiation Program is currently subject to legal challenges. Under this program, HHS has already announced the agreed-upon prices of the first drugs that were subject to price negotiations and will announce the agreed-upon prices of additional drugs in the coming years. In response to an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using march-in rights under the Bayh-Dole Act. On December 8, 2023, the National Institute of Standards and Technology, or NIST,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NIST framework, if such framework is finalized. Further, additional health reform measures may be implemented in the future, particularly in light of the recent U.S. presidential and congressional elections.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reduction in reimbursement from Medicare and other government programs may result in a similar reduction in payments from private payers.  Our future product sales may be subject to additional discounts from list price in the form of rebates and discounts provided to 340B covered entities. Changes to the 340B program or to Medicare or Medicaid programs at the federal or state level, including outcomes of ongoing litigation in our industry, may impact our product prices and rebate liability.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the distribution of prescription pharmaceutical products is subject to the Drug Supply Chain Security Act, or DSCA, which regulates the distribution and tracing of prescription drugs and prescription drug samples at the federal level and sets minimum standards for the regulation of drug distributors by the states. The DSCA imposes requirements to ensure accountability in distribution and to identify and remove counterfeit and other illegitimate products from the market.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healthcare laws that may affect our ability to operate include, for example, the following:</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federal Health Insurance Portability and Accountability Act of 1996, or HIPAA, as amended by the Health Information Technology for Economic and Clinical Health Act, which governs the conduct of certain electronic healthcare transactions and protects the security and privacy of protected health information;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Foreign and state laws governing the privacy and security of health information, such as the General Data Protection Regulation, or GDPR, in the EU and UK; and the California Consumer Privacy Act, or CCPA, in California, some of which are more stringent than HIPAA and many of which differ from each other in significant ways and may not have the same effect;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Physician Payments Sunshine Act, which requires manufacturers of medicines, devices, biologics, and medical supplies to report annually to the Centers for Medicare and Medicaid Services information related to payments and other transfers of value to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Sales and Marketing</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Numerous regulatory authorities in addition to the FDA, including, in the U.S., the Centers for Medicare and Medicaid Services, other divisions of the HHS, the U.S. Department of Justice, and similar foreign, state and local government authorities, regulate sales, promotion and other activities following drug approval. As described above, the FDA regulates all advertising and promotion activities for drugs under its jurisdiction both prior to and after approval. Only those claims relating to safety and efficacy that the FDA has approved may be used in labeling. Physicians may prescribe legally available drugs for uses that are not described in the drug’s labeling and that differ from those tested and that the FDA approved. The FDA does not regulate the behavior of physicians in their choice of treatments, but FDA regulations do impose stringent restrictions on manufacturers’ communications regarding off-label uses. If we do not comply with applicable FDA requirements, we may face adverse publicity, enforcement action by the FDA, including corrective advertising, consent decrees and the full range of civil and criminal penalties available to the FDA. Promotion of off-label uses of drugs can also implicate the false claims laws described below.</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In the U.S., sales, marketing and scientific/educational programs must also comply with various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Despite our best efforts to comply with applicable law and regulations, due to the breadth of the statutory provisions, limited statutory exceptions and regulatory safe harbors, and the absence of guidance in the form of regulations and very few court decisions addressing industry practices, it is possible that our practices might be challenged under anti-kickback or similar laws. Moreover, healthcare reform legislation has strengthened these laws. For example, the Patient Protection and Affordable Care Act, as amended by the Health Care and Education Reconciliation Act of 2010, or Affordable Care Act, among other things, amends the intent requirement of the federal anti-kickback and criminal healthcare fraud statutes to clarify that a person or entity does not need to have actual knowledge of this statute or specific intent to violate it. In addition, the Affordable Care Act clarifies that the government may assert that a claim that includes items or services resulting from a violation of the federal anti-kickback statute constitutes a false or fraudulent claim for purposes of the false claims statutes. False claims laws prohibit anyone from knowingly and willingly presenting, or causing to be presented for payment, to third-party payers (including Medicare and Medicaid) claims for reimbursed drugs or services that are false or fraudulent, claims for items or services not provided as claimed, or claims for medically unnecessary items or services. Our activities relating to the sale and marketing of our drugs may be subject to scrutiny under these laws. Violations of fraud and abuse laws may be punishable by criminal and civil sanctions, including fines and civil monetary penalties, the possibility of exclusion from federal healthcare programs (including Medicare and Medicaid) and corporate integrity agreements, which impose, among other things, rigorous operational and monitoring requirements on companies. Similar sanctions and penalties also can be imposed upon executive officers and employees, including criminal sanctions against executive officers under the so-called “responsible corporate officer” doctrine, even in situations where the executive officer did not intend to violate the law and was unaware of any wrongdoing.</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Given the significant penalties and fines that can be imposed on companies and individuals if convicted, allegations of such violations often result in settlements even if the company or individual being investigated admits no wrongdoing. Settlements often include significant civil sanctions, including fines and civil monetary penalties, corporate integrity agreements, and could include criminal penalties. If the government alleged, or subsequently settled or convicted us or our executive officers of violating these laws, our business could be harmed. In addition, private individuals can bring similar actions. Our activities could be subject to challenge for the reasons discussed above and due to the broad scope of these laws and the increasing attention being given to them by law enforcement authorities. As described above, other healthcare laws that may affect our operations include HIPAA, analogous state laws governing the privacy and security of health information, some of which are more stringent than HIPAA and many of which differ from each other in significant ways and may not have the same effect, and the Physician Payments Sunshine Act. Further, there are an increasing number of state laws that require manufacturers to make reports to states on pricing and marketing information. Many of these laws contain ambiguities as to what is required to comply with the laws. Given the lack of clarity in laws and their implementation, our reporting actions could be subject to the penalty provisions of the pertinent state authorities.</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Similar rigid (and in some areas, heightened) restrictions are imposed on the promotion and marketing of drugs in the E.U. and other countries. Even in those countries where we may not be directly responsible for the promotion and marketing of our medicines, if our potential international distribution partners engage in inappropriate activity, it can have adverse implications for us.</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As discussed above, both the federal and state governments in the U.S. and foreign governments continue to propose and pass new legislation and regulations designed to contain or reduce the cost of healthcare, including new models aimed to lower of cost of drugs, promote accessibility, and improve quality of care and initiatives to control the price of prescription drugs using march-in rights under the Bayh-Dole Act.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The Foreign Corrupt Practices Act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The FCPA also requires publicly traded companies to maintain accurate books and records and establish and maintain a system of internal accounting controls. If we violate the FCPA, it could result in large civil and criminal penalties as well as have an adverse effect on our reputation, operations, and financial condition. We could also face collateral consequences such as debarment and the loss of export privileges. In addition, in many other countries, the healthcare providers who conduct clinical trials or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the FCPA or local anti-bribery laws. Importantly, we do not control the actions of manufacturers and other third-party agents, although we may be liable for their actions.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Competition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Our Business in General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Some of our medicines may compete with existing therapies for market share and some of our medicines in development may compete for patients in clinical trials. In addition, there are a number of companies pursuing the development of genetic medicines and the development of pharmaceuticals utilizing these technologies. These companies include biopharmaceutical companies and large pharmaceutical companies acting either independently or together. Our medicines are differentiated from traditional small molecule medicines by their chemistry, how they move in the body, how they act in the body, delivery technology, and formulations.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commercial medicines and our medicines in development address numerous markets. The diseases our medicines target for which we have or may receive marketing authorization will determine our competition. For some of our medicines, an important factor may be the timing of market introduction of competitive products. Accordingly, the relative speed with which we can develop medicines, complete the clinical trials and marketing authorization processes and supply commercial quantities of the medicines to the market are important competitive factors. We expect to compete with products approved for sale based on a variety of factors, including, among other things, product efficacy, safety, mechanism of action, dosing administration, marketing and sales strategy and tactics, availability, price, and reimbursement.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Below we have included what we believe to be medicines that compete or may compete directly with our marketed medicines and late-stage medicines. We included competitors and potential competitors that are past Phase 1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Marketed Medicines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TRYNGOLZA/Olezarsen and WAYLIVRA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TRYNGOLZA/olezarsen and WAYLIVRA in FCS and sHTG:</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130"/>
        <w:gridCol w:w="60"/>
        <w:gridCol w:w="1577"/>
        <w:gridCol w:w="60"/>
        <w:gridCol w:w="3678"/>
        <w:gridCol w:w="60"/>
        <w:gridCol w:w="1626"/>
        <w:gridCol w:w="60"/>
        <w:gridCol w:w="1954"/>
      </w:tblGrid>
      <w:tr>
        <w:trPr/>
        <w:tc>
          <w:tcPr>
            <w:tcW w:w="113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57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678"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62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954"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13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ARO-APOC3</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(Plozasiran)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Arrowhead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8"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Targets APOCIII by utilizing Targeted RNAi Molecule Platform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Submitted in US for FCS,</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sHTG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4"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1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Pegozafermin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89bio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FGF21 analog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sHTG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5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13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NST-1024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NorthSea Therapeutics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CETP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WAINUA/Eplontersen and TEGSEDI</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the following medicines as competitors and potential future competitors to WAINUA/eplontersen and TEGSEDI for ATTRv-PN and/or ATTR-CM:</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591"/>
        <w:gridCol w:w="60"/>
        <w:gridCol w:w="1148"/>
        <w:gridCol w:w="60"/>
        <w:gridCol w:w="2299"/>
        <w:gridCol w:w="60"/>
        <w:gridCol w:w="3382"/>
        <w:gridCol w:w="60"/>
        <w:gridCol w:w="1545"/>
      </w:tblGrid>
      <w:tr>
        <w:trPr/>
        <w:tc>
          <w:tcPr>
            <w:tcW w:w="159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14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2299"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3382"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5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59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Onpattro</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(Patisiran)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RNAi medicine formulated with lipid nanoparticles to inhibit TTR mRNA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2"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in US, EU, Japan and select other markets for ATTRv-PN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9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Vyndaqel/Vyndamax</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(Tafamidis and tafamidis meglumine)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Pfizer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small molecule medicine to stabilize TTR protein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2"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in EU, Japan and select other markets for ATTRv-PN (not approved in the US); ATTR-CM approved in the US, EU and other geographies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59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Amvuttra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(Vutrisiran)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RNAi medicine conjugated with GalNAc to inhibit TTR mRNA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ATTRv-PN in the US, EU and Japan; Submitted in US, EU for ATTR-CM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59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Attruby (Acoramidis)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BridgeBio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Small molecule that binds and stabilizes TTR in the blood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2"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in US; Submitted in EU and 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59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NTLA-2001 (Nexiguran Ziclumeran (nex-z))</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Intellia/ Regeneron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CRISPR therapeutic candidate designed to reduce circulating TTR protein levels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ATTR-CM,</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ATTRv-PN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9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ALXN2220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AstraZeneca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monoclonal IgG1 which acts by depleting TTR protein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82"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ATTR-CM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59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NNC6019-0001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Novo Nordisk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monoclonal antibody to deplete amyloid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82"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ATTR-CM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720" w:right="0" w:hanging="0"/>
        <w:jc w:val="both"/>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the following medicines as competitors to SPINRAZA for the indication of SMA:</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18"/>
        <w:gridCol w:w="60"/>
        <w:gridCol w:w="845"/>
        <w:gridCol w:w="60"/>
        <w:gridCol w:w="3551"/>
        <w:gridCol w:w="60"/>
        <w:gridCol w:w="2190"/>
        <w:gridCol w:w="60"/>
        <w:gridCol w:w="1661"/>
      </w:tblGrid>
      <w:tr>
        <w:trPr/>
        <w:tc>
          <w:tcPr>
            <w:tcW w:w="1718"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55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19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66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718"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Zolgensma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(Onasemnogene abeparvovec)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Gene therapy targeting the genetic root cause of SMA by replacing the missing or nonworking SMN1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pediatric SMA patients less than 2 years of 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718"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Evrysdi</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(Risdiplam)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Roche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small molecule medicine that modulates splicing of the SMN2 gene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SMA in pediatric and adult patients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718"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OAV101</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(Onasemnogene abeparvovec)</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Gene therapy targeting the genetic root cause of SMA by replacing the missing or nonworking SMN1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Intrathecal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 could compete with QALSODY in SOD1-ALS: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33"/>
        <w:gridCol w:w="60"/>
        <w:gridCol w:w="2415"/>
        <w:gridCol w:w="60"/>
        <w:gridCol w:w="3527"/>
        <w:gridCol w:w="60"/>
        <w:gridCol w:w="707"/>
        <w:gridCol w:w="60"/>
        <w:gridCol w:w="2083"/>
      </w:tblGrid>
      <w:tr>
        <w:trPr/>
        <w:tc>
          <w:tcPr>
            <w:tcW w:w="123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24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52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0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083"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23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NI-005 / AP-101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1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Neurimmune (AL-S Pharma) / Lilly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2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human derived antibody targeting misfolded SOD1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b/>
          <w:i/>
          <w:color w:val="000000"/>
          <w:sz w:val="20"/>
        </w:rPr>
      </w:pPr>
      <w:r>
        <w:rPr>
          <w:rFonts w:ascii="Times New Roman;Times;serif" w:hAnsi="Times New Roman;Times;serif"/>
          <w:b/>
          <w:i/>
          <w:color w:val="000000"/>
          <w:sz w:val="20"/>
        </w:rPr>
        <w:t>Late-Stage Ionis-Owned Programs</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Donidalorsen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donidalorsen as a prophylactic treatment for patients with HAE: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733"/>
        <w:gridCol w:w="60"/>
        <w:gridCol w:w="933"/>
        <w:gridCol w:w="60"/>
        <w:gridCol w:w="2983"/>
        <w:gridCol w:w="60"/>
        <w:gridCol w:w="2621"/>
        <w:gridCol w:w="60"/>
        <w:gridCol w:w="1695"/>
      </w:tblGrid>
      <w:tr>
        <w:trPr/>
        <w:tc>
          <w:tcPr>
            <w:tcW w:w="173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93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2983"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6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169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73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Takhzyro</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(lanadelumab-flyo)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Takeda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monoclonal antibody that inhibits plasma kallikrein activity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1"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two years and older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7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Cinryze</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Takeda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human plasma protein that mediates inflammation and coagulation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six years and 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7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Orladeyo</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(berotralstat)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BioCryst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 plasma kallikrein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12 years and older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7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Haegarda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CSL Behring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C1 esterase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6 years and older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7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Garadacimab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CSL Behring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anti-factor XIIa monoclonal antibody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HAE patients 12 years and older in Australia and the UK</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EC Decision Pending in EU; Received CRL in the 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7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Deucrictibant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Pharvaris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oral B2-receptor antagonist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7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NTLA-2002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Intellia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CRISPR therapeutic candidate designed to inactivate the kallikrein B1 gene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21"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9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7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STAR-0215 (Navenibart)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Astria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monoclonal antibody inhibitor of plasma kallikrein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21"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Zilganersen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there are no medicines in clinical development for AxD.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720" w:right="0" w:hanging="0"/>
        <w:jc w:val="left"/>
        <w:rPr>
          <w:rFonts w:ascii="Times New Roman;Times;serif" w:hAnsi="Times New Roman;Times;serif"/>
          <w:i/>
          <w:color w:val="000000"/>
          <w:sz w:val="20"/>
        </w:rPr>
      </w:pPr>
      <w:r>
        <w:rPr>
          <w:rFonts w:ascii="Times New Roman;Times;serif" w:hAnsi="Times New Roman;Times;serif"/>
          <w:i/>
          <w:color w:val="000000"/>
          <w:sz w:val="20"/>
        </w:rPr>
        <w:t>ION582</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ION582 in Angelman syndrome:</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90"/>
        <w:gridCol w:w="60"/>
        <w:gridCol w:w="1865"/>
        <w:gridCol w:w="60"/>
        <w:gridCol w:w="4320"/>
        <w:gridCol w:w="60"/>
        <w:gridCol w:w="727"/>
        <w:gridCol w:w="60"/>
        <w:gridCol w:w="2163"/>
      </w:tblGrid>
      <w:tr>
        <w:trPr/>
        <w:tc>
          <w:tcPr>
            <w:tcW w:w="89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86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432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2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163"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8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GTX-102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Ultragenyx Pharma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ASO designed to inhibit expression of UBE3A-ATS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Intrathecal</w:t>
            </w:r>
          </w:p>
        </w:tc>
      </w:tr>
      <w:tr>
        <w:trPr/>
        <w:tc>
          <w:tcPr>
            <w:tcW w:w="8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Alogabat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Roche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2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small molecule that is GABA A alpha 5 receptor modulator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8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NNZ-2591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Neuren Pharmaceuticals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2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small molecule, cGP analog, that targets IGF-1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Late-Stage Partnered Programs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Bepirovirsen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bepirovirsen in HBV</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235"/>
        <w:gridCol w:w="60"/>
        <w:gridCol w:w="1390"/>
        <w:gridCol w:w="60"/>
        <w:gridCol w:w="4197"/>
        <w:gridCol w:w="60"/>
        <w:gridCol w:w="637"/>
        <w:gridCol w:w="60"/>
        <w:gridCol w:w="2506"/>
      </w:tblGrid>
      <w:tr>
        <w:trPr/>
        <w:tc>
          <w:tcPr>
            <w:tcW w:w="123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39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419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63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50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23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Elebsiran</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(VIR-2218)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Vir Biotech / Alnylam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RNAi therapeutic to reduce HBV viral antigens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23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Imdusiran</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(AB-729)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Arbutus Biopharma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RNAi therapeutic to reduce HBV viral antigens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23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Tobevibart</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(VIR-3434)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Vir Biotech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Monoclonal antibody neutralizing hepatitis B virus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23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Selgantolimod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Gilead Sciences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Toll-like receptor 8 agonist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23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Bersacapavir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Johnson &amp; Johnson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Capsid assembly modulator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23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REP 2139-Mg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Replicor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Nucleic acid polymer that blocks the assembly of subviral particles (SVPs) in hepatocytes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 / Subcutaneous Injection</w:t>
            </w:r>
          </w:p>
        </w:tc>
      </w:tr>
      <w:tr>
        <w:trPr/>
        <w:tc>
          <w:tcPr>
            <w:tcW w:w="123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VTP-300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Barinthus Bio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9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Antigen-specific immunotherapy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Intramuscular Injection</w:t>
            </w:r>
          </w:p>
        </w:tc>
      </w:tr>
      <w:tr>
        <w:trPr/>
        <w:tc>
          <w:tcPr>
            <w:tcW w:w="123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BRII-179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Brii Biosciences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9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Recombinant protein-based immunotherapy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Intramuscular Injection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Pelacarsen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pelacarsen in CVD in patients with elevated LP(a):</w:t>
      </w:r>
    </w:p>
    <w:p>
      <w:pPr>
        <w:pStyle w:val="TextBody"/>
        <w:bidi w:val="0"/>
        <w:spacing w:before="0" w:after="0"/>
        <w:jc w:val="left"/>
        <w:rPr/>
      </w:pPr>
      <w:r>
        <w:rPr/>
      </w:r>
    </w:p>
    <w:tbl>
      <w:tblPr>
        <w:tblW w:w="9355" w:type="dxa"/>
        <w:jc w:val="left"/>
        <w:tblInd w:w="0" w:type="dxa"/>
        <w:tblLayout w:type="fixed"/>
        <w:tblCellMar>
          <w:top w:w="0" w:type="dxa"/>
          <w:left w:w="0" w:type="dxa"/>
          <w:bottom w:w="28" w:type="dxa"/>
          <w:right w:w="0" w:type="dxa"/>
        </w:tblCellMar>
      </w:tblPr>
      <w:tblGrid>
        <w:gridCol w:w="1010"/>
        <w:gridCol w:w="60"/>
        <w:gridCol w:w="1595"/>
        <w:gridCol w:w="60"/>
        <w:gridCol w:w="3410"/>
        <w:gridCol w:w="60"/>
        <w:gridCol w:w="770"/>
        <w:gridCol w:w="60"/>
        <w:gridCol w:w="2330"/>
      </w:tblGrid>
      <w:tr>
        <w:trPr/>
        <w:tc>
          <w:tcPr>
            <w:tcW w:w="101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41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330"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01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Olpasiran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Amgen/ Arrowhead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Lepodisiran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Lilly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Zerlasiran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Silence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1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RNAi therapeutic designed to lower Lp(a)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01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Muvalaplin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Lilly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1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Small molecule therapy to lower Lp(a)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Sefaxersen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following medicines could compete with sefaxersen in IgAN:</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390"/>
        <w:gridCol w:w="60"/>
        <w:gridCol w:w="1353"/>
        <w:gridCol w:w="60"/>
        <w:gridCol w:w="3176"/>
        <w:gridCol w:w="60"/>
        <w:gridCol w:w="2019"/>
        <w:gridCol w:w="60"/>
        <w:gridCol w:w="2027"/>
      </w:tblGrid>
      <w:tr>
        <w:trPr/>
        <w:tc>
          <w:tcPr>
            <w:tcW w:w="139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Medicine</w:t>
            </w:r>
          </w:p>
        </w:tc>
        <w:tc>
          <w:tcPr>
            <w:tcW w:w="60" w:type="dxa"/>
            <w:tcBorders/>
            <w:tcMar>
              <w:bottom w:w="0" w:type="dxa"/>
            </w:tcMar>
            <w:vAlign w:val="center"/>
          </w:tcPr>
          <w:p>
            <w:pPr>
              <w:pStyle w:val="TableContents"/>
              <w:bidi w:val="0"/>
              <w:spacing w:before="0" w:after="283"/>
              <w:jc w:val="left"/>
              <w:rPr/>
            </w:pPr>
            <w:r>
              <w:rPr/>
              <w:t> </w:t>
            </w:r>
          </w:p>
        </w:tc>
        <w:tc>
          <w:tcPr>
            <w:tcW w:w="135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3176"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Medicine Description</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019"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Phase</w:t>
            </w:r>
            <w:r>
              <w:rPr>
                <w:rFonts w:ascii="Times New Roman;Times;serif" w:hAnsi="Times New Roman;Times;serif"/>
                <w:position w:val="7"/>
                <w:sz w:val="16"/>
                <w:sz w:val="20"/>
              </w:rPr>
              <w:t xml:space="preserve"> (1)</w:t>
            </w:r>
          </w:p>
        </w:tc>
        <w:tc>
          <w:tcPr>
            <w:tcW w:w="60" w:type="dxa"/>
            <w:tcBorders/>
            <w:tcMar>
              <w:bottom w:w="0" w:type="dxa"/>
            </w:tcMar>
            <w:vAlign w:val="center"/>
          </w:tcPr>
          <w:p>
            <w:pPr>
              <w:pStyle w:val="TableContents"/>
              <w:bidi w:val="0"/>
              <w:spacing w:before="0" w:after="283"/>
              <w:jc w:val="left"/>
              <w:rPr/>
            </w:pPr>
            <w:r>
              <w:rPr/>
              <w:t> </w:t>
            </w:r>
          </w:p>
        </w:tc>
        <w:tc>
          <w:tcPr>
            <w:tcW w:w="2027"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Route of Administration</w:t>
            </w:r>
            <w:r>
              <w:rPr>
                <w:rFonts w:ascii="Times New Roman;Times;serif" w:hAnsi="Times New Roman;Times;serif"/>
                <w:position w:val="7"/>
                <w:sz w:val="16"/>
                <w:sz w:val="20"/>
              </w:rPr>
              <w:t xml:space="preserve"> (1)</w:t>
            </w:r>
          </w:p>
        </w:tc>
      </w:tr>
      <w:tr>
        <w:trPr/>
        <w:tc>
          <w:tcPr>
            <w:tcW w:w="139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Tarpeyo (budesonide)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Asahi Kasei (Calliditas)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corticosteroid indicated to reduce proteinuria in adults with primary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Filspari</w:t>
              <w:br/>
              <w:t>(Sparsentan)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Travere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endothelin &amp; angiotensin II receptor antagonist to reduce proteinuria in adults with primary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Fabhalta</w:t>
            </w:r>
          </w:p>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(Iptacopan)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factor B inhibitor of the alternative complement pathway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Approved for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Atrasentan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endothelin A receptor antagonist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 Submitted in US for accelerated approval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Zigakibart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Novartis (Chinook)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An anti-APRIL monoclonal antibody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Sibeprenlimab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Otsuka (Visterra)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humanized IgG2 monoclonal antibody that inhibits APRIL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r>
        <w:trPr/>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Atacicept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Vera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recombinant fusion protein a dual inhibitor of BLyS and APRIL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Ravulizumab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Alexion (AstraZeneca)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humanized monoclonal antibody to complement factor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Povetacicept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Alpine Immune Sciences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dual BAFF and APRIL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 / Subcutaneous Injection</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Telitacicept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RemeGen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dual BAFF and APRIL inhibitor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3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Subcutaneous Injection</w:t>
            </w:r>
          </w:p>
        </w:tc>
      </w:tr>
      <w:tr>
        <w:trPr/>
        <w:tc>
          <w:tcPr>
            <w:tcW w:w="13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Vemircopan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3"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Alexion (AstraZeneca)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76"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complement factor D inhibitor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9"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7"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Oral</w:t>
            </w:r>
          </w:p>
        </w:tc>
      </w:tr>
      <w:tr>
        <w:trPr/>
        <w:tc>
          <w:tcPr>
            <w:tcW w:w="139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Felzartamab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3"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Hi-Bio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76"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 monoclonal antibody directed against CD38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9"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2 (IgAN)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7"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Intravenous Infusion</w:t>
            </w:r>
          </w:p>
        </w:tc>
      </w:tr>
    </w:tbl>
    <w:p>
      <w:pPr>
        <w:pStyle w:val="TextBody"/>
        <w:bidi w:val="0"/>
        <w:spacing w:before="0" w:after="0"/>
        <w:jc w:val="left"/>
        <w:rPr/>
      </w:pPr>
      <w:r>
        <w:rPr/>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90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Taken from public documents including respective company press releases, company presentations, and scientific presentations.</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Ulefnersen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there are no medicines in clinical development for FUS-ALS.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Corporate Responsibility Initiatives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believe operating responsibly and sustainably creates long-term value for our company and our stakeholders. We recognize the importance of Corporate Responsibility, or CR, and Environmental, Social and Governance, or ESG, initiatives as it relates to our business strategy and risk assessment. We continue to evolve our CR program and established three strategic CR pillars and associated goals in 2023 to guide our approach and provide a framework for reporting on our performance. </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began reporting on CR metrics in 2021 and have continued to expand disclosure since then. In 2024, we reported progress on our CR goals aligned to the three strategic CR pillars that we believe are most important to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Corporate Responsibility Strategic Pillars</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3203"/>
        <w:gridCol w:w="2924"/>
        <w:gridCol w:w="4078"/>
      </w:tblGrid>
      <w:tr>
        <w:trPr/>
        <w:tc>
          <w:tcPr>
            <w:tcW w:w="3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 xml:space="preserve">Innovate to improve the lives </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people with serious diseases</w:t>
            </w:r>
          </w:p>
        </w:tc>
        <w:tc>
          <w:tcPr>
            <w:tcW w:w="29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Empowering our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employees and communities</w:t>
            </w:r>
          </w:p>
        </w:tc>
        <w:tc>
          <w:tcPr>
            <w:tcW w:w="40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Operating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responsibly and sustainably</w:t>
            </w:r>
          </w:p>
        </w:tc>
      </w:tr>
      <w:tr>
        <w:trPr/>
        <w:tc>
          <w:tcPr>
            <w:tcW w:w="320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90" w:right="0" w:hanging="0"/>
              <w:jc w:val="left"/>
              <w:rPr>
                <w:rFonts w:ascii="Times New Roman;Times;serif" w:hAnsi="Times New Roman;Times;serif"/>
                <w:i/>
                <w:sz w:val="20"/>
              </w:rPr>
            </w:pPr>
            <w:r>
              <w:rPr>
                <w:rFonts w:ascii="Times New Roman;Times;serif" w:hAnsi="Times New Roman;Times;serif"/>
                <w:i/>
                <w:sz w:val="20"/>
              </w:rPr>
              <w:t>We innovate across the business and work tirelessly to discover, develop and deliver important new medicines for people with serious diseases.</w:t>
            </w:r>
          </w:p>
        </w:tc>
        <w:tc>
          <w:tcPr>
            <w:tcW w:w="2924"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84" w:right="0" w:hanging="0"/>
              <w:jc w:val="left"/>
              <w:rPr>
                <w:rFonts w:ascii="Times New Roman;Times;serif" w:hAnsi="Times New Roman;Times;serif"/>
                <w:i/>
                <w:sz w:val="20"/>
              </w:rPr>
            </w:pPr>
            <w:r>
              <w:rPr>
                <w:rFonts w:ascii="Times New Roman;Times;serif" w:hAnsi="Times New Roman;Times;serif"/>
                <w:i/>
                <w:sz w:val="20"/>
              </w:rPr>
              <w:t>We are committed to fostering an inclusive culture that drives excellence, embraces diversity, and supports our communities.</w:t>
            </w:r>
          </w:p>
        </w:tc>
        <w:tc>
          <w:tcPr>
            <w:tcW w:w="407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90" w:right="0" w:hanging="0"/>
              <w:jc w:val="left"/>
              <w:rPr>
                <w:rFonts w:ascii="Times New Roman;Times;serif" w:hAnsi="Times New Roman;Times;serif"/>
                <w:i/>
                <w:sz w:val="20"/>
              </w:rPr>
            </w:pPr>
            <w:r>
              <w:rPr>
                <w:rFonts w:ascii="Times New Roman;Times;serif" w:hAnsi="Times New Roman;Times;serif"/>
                <w:i/>
                <w:sz w:val="20"/>
              </w:rPr>
              <w:t>We operate with integrity to help create a better, more sustainable future for all through environmental stewardship and responsible business practices and stakeholder interactions.</w:t>
            </w:r>
          </w:p>
        </w:tc>
      </w:tr>
      <w:tr>
        <w:trPr/>
        <w:tc>
          <w:tcPr>
            <w:tcW w:w="3203"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Innovation and R&amp;D</w:t>
            </w:r>
          </w:p>
          <w:p>
            <w:pPr>
              <w:pStyle w:val="TableContents"/>
              <w:bidi w:val="0"/>
              <w:spacing w:before="0" w:after="0"/>
              <w:ind w:left="0" w:right="0" w:hanging="0"/>
              <w:jc w:val="left"/>
              <w:rPr/>
            </w:pPr>
            <w:r>
              <w:rPr/>
              <w:t>• </w:t>
            </w:r>
            <w:r>
              <w:rPr>
                <w:rFonts w:ascii="Times New Roman;Times;serif" w:hAnsi="Times New Roman;Times;serif"/>
                <w:sz w:val="20"/>
              </w:rPr>
              <w:t>Access and Affordability</w:t>
            </w:r>
          </w:p>
          <w:p>
            <w:pPr>
              <w:pStyle w:val="TableContents"/>
              <w:bidi w:val="0"/>
              <w:spacing w:before="0" w:after="0"/>
              <w:ind w:left="0" w:right="0" w:hanging="0"/>
              <w:jc w:val="left"/>
              <w:rPr/>
            </w:pPr>
            <w:r>
              <w:rPr/>
              <w:t>• </w:t>
            </w:r>
            <w:r>
              <w:rPr>
                <w:rFonts w:ascii="Times New Roman;Times;serif" w:hAnsi="Times New Roman;Times;serif"/>
                <w:sz w:val="20"/>
              </w:rPr>
              <w:t>Patient Advocacy and Engagement</w:t>
            </w:r>
          </w:p>
        </w:tc>
        <w:tc>
          <w:tcPr>
            <w:tcW w:w="2924"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Workplace Culture, Talent Attraction and Development</w:t>
            </w:r>
          </w:p>
          <w:p>
            <w:pPr>
              <w:pStyle w:val="TableContents"/>
              <w:bidi w:val="0"/>
              <w:spacing w:before="0" w:after="0"/>
              <w:ind w:left="0" w:right="0" w:hanging="0"/>
              <w:jc w:val="left"/>
              <w:rPr/>
            </w:pPr>
            <w:r>
              <w:rPr/>
              <w:t>• </w:t>
            </w:r>
            <w:r>
              <w:rPr>
                <w:rFonts w:ascii="Times New Roman;Times;serif" w:hAnsi="Times New Roman;Times;serif"/>
                <w:sz w:val="20"/>
              </w:rPr>
              <w:t>Inclusion and Belonging</w:t>
            </w:r>
          </w:p>
          <w:p>
            <w:pPr>
              <w:pStyle w:val="TableContents"/>
              <w:bidi w:val="0"/>
              <w:spacing w:before="0" w:after="0"/>
              <w:ind w:left="0" w:right="0" w:hanging="0"/>
              <w:jc w:val="left"/>
              <w:rPr/>
            </w:pPr>
            <w:r>
              <w:rPr/>
              <w:t>• </w:t>
            </w:r>
            <w:r>
              <w:rPr>
                <w:rFonts w:ascii="Times New Roman;Times;serif" w:hAnsi="Times New Roman;Times;serif"/>
                <w:sz w:val="20"/>
              </w:rPr>
              <w:t>Social Impact and Community Engagement</w:t>
            </w:r>
          </w:p>
        </w:tc>
        <w:tc>
          <w:tcPr>
            <w:tcW w:w="4078" w:type="dxa"/>
            <w:tcBorders>
              <w:top w:val="single" w:sz="12" w:space="0" w:color="000000"/>
              <w:left w:val="single" w:sz="12" w:space="0" w:color="000000"/>
              <w:bottom w:val="single" w:sz="12" w:space="0" w:color="000000"/>
              <w:right w:val="single" w:sz="12" w:space="0" w:color="000000"/>
            </w:tcBorders>
            <w:shd w:fill="FFFFFF" w:val="clear"/>
            <w:vAlign w:val="center"/>
          </w:tcPr>
          <w:p>
            <w:pPr>
              <w:pStyle w:val="TableContents"/>
              <w:bidi w:val="0"/>
              <w:spacing w:before="0" w:after="0"/>
              <w:ind w:left="0" w:right="0" w:hanging="0"/>
              <w:jc w:val="left"/>
              <w:rPr/>
            </w:pPr>
            <w:r>
              <w:rPr/>
              <w:t>• </w:t>
            </w:r>
            <w:r>
              <w:rPr>
                <w:rFonts w:ascii="Times New Roman;Times;serif" w:hAnsi="Times New Roman;Times;serif"/>
                <w:sz w:val="20"/>
              </w:rPr>
              <w:t>Environmental Sustainability</w:t>
            </w:r>
          </w:p>
          <w:p>
            <w:pPr>
              <w:pStyle w:val="TableContents"/>
              <w:bidi w:val="0"/>
              <w:spacing w:before="0" w:after="0"/>
              <w:ind w:left="0" w:right="0" w:hanging="0"/>
              <w:jc w:val="left"/>
              <w:rPr/>
            </w:pPr>
            <w:r>
              <w:rPr/>
              <w:t>• </w:t>
            </w:r>
            <w:r>
              <w:rPr>
                <w:rFonts w:ascii="Times New Roman;Times;serif" w:hAnsi="Times New Roman;Times;serif"/>
                <w:sz w:val="20"/>
              </w:rPr>
              <w:t>Governance and Integrity</w:t>
            </w:r>
          </w:p>
          <w:p>
            <w:pPr>
              <w:pStyle w:val="TableContents"/>
              <w:bidi w:val="0"/>
              <w:spacing w:before="0" w:after="0"/>
              <w:ind w:left="0" w:right="0" w:hanging="0"/>
              <w:jc w:val="left"/>
              <w:rPr/>
            </w:pPr>
            <w:r>
              <w:rPr/>
              <w:t>• </w:t>
            </w:r>
            <w:r>
              <w:rPr>
                <w:rFonts w:ascii="Times New Roman;Times;serif" w:hAnsi="Times New Roman;Times;serif"/>
                <w:sz w:val="20"/>
              </w:rPr>
              <w:t>Data Privacy and Cybersecurity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CR initiatives are driven by our Chief Executive Officer and executive-level CR Steering Committee, or CR Committee. The CR Committee consists of senior leaders in key functions across the company, including legal, finance, investor relations, human resources, research and development, manufacturing, commercial, compliance and corporate affairs.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CR Committee is part of our governance framework, which defines responsibilities and ensures we have the right systems and controls to oversee ethical and sustainable operations across our business. Our Board of Directors, specifically the Nominating, Governance and Review Committee, has oversight of our overall CR strategy and material CR risks and opportunities as outlined in the Committee’s charter. The Board receives updates related to corporate governance and corporate responsibility from the CR Committee at least once annually. We look to our stakeholders and third-party frameworks such as the Sustainability Accounting Standards Board Health Care – Biotechnology and Pharmaceuticals Standard and the Task Force on Climate-Related Financial Disclosures to inform our approach and our disclosures.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will share progress on our CR goals and more details on our initiatives in our 2024 CR Report, which we expect to publish in April 2025 and available on our website. Nothing in the report or on our website shall be deemed incorporated by reference into this Annual Report on Form 10-K.</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Employees and Human Capital</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February 13, 2025, we employed 1,069 people, the vast majority of whom reside in the U.S. A significant number of our management and professional employees have had prior experience with pharmaceutical, biotechnology or medical product companies. Our average employee turnover rate in 2023 was 6 percent, while the turnover for life sciences and medical device companies over this period was 21 percent according to a survey published by Radford – an Aon Hewitt Company. Given the uniqueness and complexity of our technology, it is critical to retain the knowledge and experience of outstanding long service employees. The experience and seniority of our employees is as critical to our future success as it has been to the success we have enjoyed to date.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Collective bargaining agreements do not cover any of our employees, and management considers relations with our employees to be good. We believe that the future will be defined by outstanding people and we are committed to recruiting, developing, motivating, and rewarding them.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encourage you to visit our website for more detailed information regarding our Human Capital programs and initiatives. Nothing on our website shall be deemed incorporated by reference into this Annual Report on Form 10-K.</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Benefits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reward our employees individually on the basis of their responsibilities and accomplishments. We offer competitive compensation and benefits to our employees. In addition to salary and bonus programs, we also offer:</w:t>
      </w:r>
    </w:p>
    <w:p>
      <w:pPr>
        <w:pStyle w:val="TextBody"/>
        <w:bidi w:val="0"/>
        <w:spacing w:before="0" w:after="0"/>
        <w:jc w:val="left"/>
        <w:rPr/>
      </w:pPr>
      <w:r>
        <w:rPr/>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Comprehensive medical, dental and vision insurance;</w:t>
            </w:r>
          </w:p>
        </w:tc>
      </w:tr>
    </w:tbl>
    <w:tbl>
      <w:tblPr>
        <w:tblW w:w="1653" w:type="dxa"/>
        <w:jc w:val="left"/>
        <w:tblInd w:w="0" w:type="dxa"/>
        <w:tblLayout w:type="fixed"/>
        <w:tblCellMar>
          <w:top w:w="0" w:type="dxa"/>
          <w:left w:w="0" w:type="dxa"/>
          <w:bottom w:w="0" w:type="dxa"/>
          <w:right w:w="0" w:type="dxa"/>
        </w:tblCellMar>
      </w:tblPr>
      <w:tblGrid>
        <w:gridCol w:w="38"/>
        <w:gridCol w:w="17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401(k) matching;</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Stock options, RSUs and an Employee Stock Purchase Plan, or ESPP;</w:t>
            </w:r>
          </w:p>
        </w:tc>
      </w:tr>
    </w:tbl>
    <w:tbl>
      <w:tblPr>
        <w:tblW w:w="5373" w:type="dxa"/>
        <w:jc w:val="left"/>
        <w:tblInd w:w="0" w:type="dxa"/>
        <w:tblLayout w:type="fixed"/>
        <w:tblCellMar>
          <w:top w:w="0" w:type="dxa"/>
          <w:left w:w="0" w:type="dxa"/>
          <w:bottom w:w="0" w:type="dxa"/>
          <w:right w:w="0" w:type="dxa"/>
        </w:tblCellMar>
      </w:tblPr>
      <w:tblGrid>
        <w:gridCol w:w="38"/>
        <w:gridCol w:w="17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Vacation, holiday, sick time and paid time off for volunteering;</w:t>
            </w:r>
          </w:p>
        </w:tc>
      </w:tr>
    </w:tbl>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Wellness programs;</w:t>
            </w:r>
          </w:p>
        </w:tc>
      </w:tr>
    </w:tbl>
    <w:tbl>
      <w:tblPr>
        <w:tblW w:w="5838" w:type="dxa"/>
        <w:jc w:val="left"/>
        <w:tblInd w:w="0" w:type="dxa"/>
        <w:tblLayout w:type="fixed"/>
        <w:tblCellMar>
          <w:top w:w="0" w:type="dxa"/>
          <w:left w:w="0" w:type="dxa"/>
          <w:bottom w:w="0" w:type="dxa"/>
          <w:right w:w="0" w:type="dxa"/>
        </w:tblCellMar>
      </w:tblPr>
      <w:tblGrid>
        <w:gridCol w:w="38"/>
        <w:gridCol w:w="170"/>
        <w:gridCol w:w="5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Flexible spending accounts for health and dependent day care needs;</w:t>
            </w:r>
          </w:p>
        </w:tc>
      </w:tr>
    </w:tbl>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Family care benefits;</w:t>
            </w:r>
          </w:p>
        </w:tc>
      </w:tr>
    </w:tbl>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Life, AD&amp;D insurance and long-term disability insurance coverage options; and</w:t>
            </w:r>
          </w:p>
        </w:tc>
      </w:tr>
    </w:tbl>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Employee Assistance Program, or EAP.</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recognize achievements with salary increases, equity awards, promotions, and bonus opportunities.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Pay Equity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committed to paying our employees fairly, regardless of their gender, ethnicity, race, age or other personal characteristics. To ensure we are achieving our commitment, we benchmark and evaluate pay based on market data and consider factors such as an employee’s role and experience, an employee’s performance and internal equity. We also regularly review our compensation practices, in terms of our overall workforce and individual employees, to ensure our pay is fair and equitable.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 an annual basis, we monitor our pay equity status and market competitiveness, and perform a pay equity analysis that reviews pay equity by gender, ethnicity, race and age. Our 2024 pay equity analysis confirmed we do not have a statistically significant difference in pay for the same or similar work, regardless of gender, ethnicity, race or age.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A Culture of Inclusion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Ionis, prejudicial barriers to human potential and productivity are foreign to our values. We recognize that for the full potential of our workforce to be realized, we must cultivate an inclusive culture where all employees feel empowered to contribute fully in an environment that values different perspectives, leading to better ​​​​​​​ideas and increased innovation. We have several employee-led resource groups dedicated to supporting engagement and empowerment and a diverse management team and board of directors. From our Executive Leadership Team to our newest hire, we strive for an environment where our employees feel a strong sense of belonging in our organization.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Training and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designed our training and development programs to help employees gain important Ionis knowledge and develop the skills to be successful at Ionis. All of our trainings from new hire through senior leader, are focused on the Ionis culture and core principles and learning what we mean when we say: “Working the Ionis Way.”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empower our employees to build rewarding careers at Ionis, driven by a culture of having a bias to act that encourages personal and professional employee growth. Ionis offers robust training opportunities with course offerings and events available to every employee regardless of level or function. In addition, employees also have access to Ionis’ learning and development library that houses important information on career growth and planning. By supporting our employees, we know that each professional development milestone enables our continued success.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Information about our Executive Officers</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sets forth certain information regarding our executive officers as of February 13, 2025:</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955"/>
        <w:gridCol w:w="60"/>
        <w:gridCol w:w="350"/>
        <w:gridCol w:w="60"/>
        <w:gridCol w:w="6780"/>
      </w:tblGrid>
      <w:tr>
        <w:trPr/>
        <w:tc>
          <w:tcPr>
            <w:tcW w:w="295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678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Position</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Chief Executive Officer</w:t>
            </w:r>
          </w:p>
        </w:tc>
      </w:tr>
      <w:tr>
        <w:trPr/>
        <w:tc>
          <w:tcPr>
            <w:tcW w:w="2955" w:type="dxa"/>
            <w:tcBorders/>
            <w:shd w:fill="FFFFFF" w:val="clear"/>
            <w:tcMar>
              <w:bottom w:w="0" w:type="dxa"/>
            </w:tcM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Joseph T. Baroldi, M.A., M.B.A., 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Business Officer</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Brian Birchler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Corporate and Development Operations</w:t>
            </w:r>
          </w:p>
        </w:tc>
      </w:tr>
      <w:tr>
        <w:trPr/>
        <w:tc>
          <w:tcPr>
            <w:tcW w:w="295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 Frank Bennett,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Scientific Officer</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Shannon L. Devers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Human Resources Officer</w:t>
            </w:r>
          </w:p>
        </w:tc>
      </w:tr>
      <w:tr>
        <w:trPr/>
        <w:tc>
          <w:tcPr>
            <w:tcW w:w="295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Richard S. Geary, Ph.D.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Development Officer</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r>
      <w:tr>
        <w:trPr/>
        <w:tc>
          <w:tcPr>
            <w:tcW w:w="295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Kyle Jenne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Global Product Strategy Officer</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Patrick R. O’Neil, Esq.</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ind w:left="182" w:right="0" w:hanging="182"/>
              <w:jc w:val="left"/>
              <w:rPr>
                <w:rFonts w:ascii="Times New Roman;Times;serif" w:hAnsi="Times New Roman;Times;serif"/>
                <w:sz w:val="20"/>
              </w:rPr>
            </w:pPr>
            <w:r>
              <w:rPr>
                <w:rFonts w:ascii="Times New Roman;Times;serif" w:hAnsi="Times New Roman;Times;serif"/>
                <w:sz w:val="20"/>
              </w:rPr>
              <w:t>Executive Vice President, Chief Legal Officer, General Counsel and Corporate Secretary</w:t>
            </w:r>
          </w:p>
        </w:tc>
      </w:tr>
      <w:tr>
        <w:trPr/>
        <w:tc>
          <w:tcPr>
            <w:tcW w:w="295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Eugene Schneider,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8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Chief Clinical Development and Operations Officer</w:t>
            </w:r>
          </w:p>
        </w:tc>
      </w:tr>
      <w:tr>
        <w:trPr/>
        <w:tc>
          <w:tcPr>
            <w:tcW w:w="295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Eric E. Swayze,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Research</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BRETT P. MONIA,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Chief Executive Officer</w:t>
      </w:r>
    </w:p>
    <w:p>
      <w:pPr>
        <w:pStyle w:val="TextBody"/>
        <w:bidi w:val="0"/>
        <w:spacing w:before="0" w:after="0"/>
        <w:jc w:val="left"/>
        <w:rPr/>
      </w:pPr>
      <w:r>
        <w:rPr/>
      </w:r>
    </w:p>
    <w:p>
      <w:pPr>
        <w:pStyle w:val="TextBody"/>
        <w:bidi w:val="0"/>
        <w:spacing w:before="0" w:after="0"/>
        <w:ind w:left="0" w:right="0" w:firstLine="763"/>
        <w:jc w:val="both"/>
        <w:rPr>
          <w:rFonts w:ascii="Times New Roman;Times;serif" w:hAnsi="Times New Roman;Times;serif"/>
          <w:color w:val="000000"/>
          <w:sz w:val="20"/>
        </w:rPr>
      </w:pPr>
      <w:r>
        <w:rPr>
          <w:rFonts w:ascii="Times New Roman;Times;serif" w:hAnsi="Times New Roman;Times;serif"/>
          <w:color w:val="000000"/>
          <w:sz w:val="20"/>
        </w:rPr>
        <w:t>Dr. Monia was promoted to Chief Executive Officer in January 2020. From January 2018 to December 2019, Dr. Monia served as Chief Operating Officer. From January 2012 to January 2018, Dr. Monia served as Senior Vice President. From February 2009 to January 2012, Dr. Monia served as our Vice President, Drug Discovery and Corporate Development and from October 2000 to February 2009, he served as our Vice President, Preclinical Drug Discovery. From October 1989 to October 2000 he held various positions within our Molecular Pharmacology department.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JOSEPH T. BAROLDI, M.A., M.B.A., M.S.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Business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Baroldi has served as Ionis’ Executive Vice President, Chief Business Officer since January 2022. Prior to rejoining Ionis in 2022, Mr. Baroldi was the chief operating officer at Avidity Biosciences, a biotechnology company focused on oligonucleotide-based therapies. Prior to Avidity, Mr. Baroldi was Vice President, Business Development at Ionis, where he held several roles of increasing responsibility from 2009 to 2020. Mr. Baroldi has also held positions in strategic planning and scientific research for Gen-Probe Inc.</w:t>
      </w:r>
    </w:p>
    <w:p>
      <w:pPr>
        <w:pStyle w:val="TextBody"/>
        <w:bidi w:val="0"/>
        <w:spacing w:before="0" w:after="0"/>
        <w:ind w:left="0" w:right="0" w:firstLine="72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BRIAN BIRCHLER</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Corporate and Development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Birchler has served as Ionis’ Executive Vice President, Corporate and Development Operations since March 2022. From January 2008 to March 2022, Mr. Birchler served as our Senior Vice President, Drug Development Operations. From January 2005 to January 2008 he served as our Vice President, Drug Development Operations and from January 2003 to January 2005, as our Vice President, Development Chemistry and Operations. Mr. Birchler joined Ionis in 1995 as Senior Scientist/Senior Research Associate. Prior to joining Ionis, Mr. Birchler was employed by CIBA Vision Corp. and Burroughs Wellcome Pharmaceuticals in various engineering, development and commercial positions.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 FRANK BENNETT,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Scientific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Bennett has served as Ionis’ Executive Vice President, Chief Scientific Officer since April 2020. In January 2020, Dr. Bennett was promoted to Chief Scientific Officer. From January 2006 to December 2019, Dr. Bennett served as Senior Vice President, Antisense Research. From June 1995 to January 2006, Dr. Bennett served as our Vice President, Research. From March 1993 to June 1995, he was Director, Molecular Pharmacology, and from May 1992 to March 1993, he was an Associate Director in our Molecular and Cellular Biology department. Prior to joining Ionis in 1989, Dr. Bennett was employed by SmithKline and French Laboratories in various research positions. He is a member of the Board of Directors of the Hereditary Disease Foundation.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SHANNON L. DEVERS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Executive Vice President, Chief Human Resources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Devers was promoted to Chief Human Resources Officer in September 2024. From April 2020 to September 2024, Ms. Devers served as our Senior Vice President, Human Resources. From August 2013 to March 2020, Ms. Devers served as our Vice President, Human Resources. Ms. Devers joined Ionis in 2001 as Senior Human Resources Manager. Prior to joining Ionis, Ms. Devers was employed by Target Corporation, Nike, Inc. and Taco Bell Corporation in various human resources roles.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RICHARD S. GEARY,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Development Officer</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Geary has served as Ionis’ Executive Vice President, Chief Development Officer since April 2020. From August 2008 to March 2020, Dr. Geary served as our Senior Vice President, Development. From August 2003 to August 2008, Dr. Geary served as our Vice President, Preclinical Development. From November 1995 to August 2003, he held various positions within the Preclinical Development department. Prior to joining Ionis in 1995, Dr. Geary was Senior Research Scientist and Group Leader for the bioanalytical and preclinical pharmacokinetics group in the Applied Chemistry Department at Southwest Research Institute.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ELIZABETH L. HOUGEN</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Finance and Chief Financial Officer</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Ms. Hougen has served as Ionis’ Executive Vice President and Chief Financial Officer since April 2020. From January 2013 to March 2020, Ms. Hougen served as our Senior Vice President, Finance and Chief Financial Officer. From January 2007 to December 2012, Ms. Hougen served as our Vice President, Finance and Chief Accounting Officer and from May 2000 to January 2007, she served as our Vice President, Finance. Prior to joining Ionis in 2000, Ms. Hougen was Executive Director, Finance and Chief Financial Officer for Molecular Biosystems, Inc., a public biotechnology company. She is a member of the Board of Directors and Audit Committee chair for Artiva Biotherapeutics.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KYLE JENNE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Global Product Strategy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Jenne has served as Ionis’ Executive Vice President, Chief Global Product Strategy Officer since February 2024. Prior to rejoining Ionis in 2024, Mr. Jenne served in senior commercial leadership roles at Ionis and Akcea from May 2017 to August 2022. Prior to joining Akcea in 2017, Mr. Jenne was employed by Schering Plough, King Pharmaceuticals, Acorda Therapeutics and Praecis Pharmaceuticals in various commercial roles.</w:t>
      </w:r>
    </w:p>
    <w:p>
      <w:pPr>
        <w:pStyle w:val="TextBody"/>
        <w:bidi w:val="0"/>
        <w:spacing w:before="0" w:after="0"/>
        <w:ind w:left="0" w:right="0" w:firstLine="72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PATRICK R. O’NEIL, Esq.</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Legal Officer, General Counsel and Corporate Secretary</w:t>
      </w:r>
    </w:p>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Mr. O’Neil has served as Ionis’ Executive Vice President, Chief Legal Officer and General Counsel since September 2021. Mr. O’Neil also serves as our Corporate Secretary. From March 2020 to September 2021, Mr. O’Neil served as our Executive Vice President, Legal &amp; General Counsel and Chief Compliance Officer. From January 2013 to March 2020, Mr. O’Neil served as our Senior Vice President, Legal and General Counsel. From September 2010 to January 2013, Mr. O’Neil served as our Vice President, Legal and General Counsel and from January 2009 to September 2010, he served as our Vice President, Legal and Senior Transactions Counsel. From October 2001 to January 2009 he held various positions within our Legal department. Prior to joining Ionis, Mr. O’Neil was an associate at Cooley LLP.</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EUGENE SCHNEIDER, M.D.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Executive Vice President, Chief Clinical Development and Operations Officer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Schneider has served as Ionis’ Executive Vice President and Chief Clinical Development and Operations Officer since September 2023. From January 2021 to September 2023, Dr. Schneider served as our Executive Vice President and Chief Clinical Development Officer. From August 2018 to December 2020, Dr. Schneider served as our Senior Vice President, Head of Clinical Development. From April 2015 to July 2018, Dr. Schneider was our Vice President, Clinical Development, Severe and Rare Diseases. Dr. Schneider joined Ionis in December 2013 as Executive Director, Clinical Development. Dr. Schneider has two decades of experience in clinical development primarily in the rare diseases space. Prior to joining Ionis, Dr. Schneider was senior medical director at both Synageva BioPharma and Biovail Technologies Ltd.</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ERIC E. SWAYZE, Ph.D.</w:t>
      </w:r>
    </w:p>
    <w:p>
      <w:pPr>
        <w:pStyle w:val="TextBody"/>
        <w:bidi w:val="0"/>
        <w:spacing w:before="0" w:after="0"/>
        <w:jc w:val="both"/>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Executive Vice President, Research</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 Swayze has served as Ionis’ Executive Vice President, Research since April 2020 and is responsible for leading preclinical antisense drug discovery and antisense technology research. In January 2020, Dr. Swayze was promoted to Senior Vice President of Research. Previously, Dr. Swayze was Vice President of Chemistry and Neuroscience Drug Discovery at Ionis, overseeing the advancement of multiple programs to clinical development. He joined Ionis in 1994 and has contributed to key technology advancements, including Ionis’ Generation 2.5 chemistry and LICA technology.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6" w:name="Item1A"/>
      <w:bookmarkEnd w:id="6"/>
      <w:r>
        <w:rPr>
          <w:rFonts w:ascii="Times New Roman;Times;serif" w:hAnsi="Times New Roman;Times;serif"/>
          <w:b/>
          <w:color w:val="000000"/>
          <w:sz w:val="20"/>
        </w:rPr>
        <w:t>Item 1A. RISK FACTORS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Investing in our securities involves a high degree of risk. You should carefully consider the following information about the risks described below, together with the other information contained in this report and in our other public filings in evaluating our business.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the Commercialization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have limited experience as a company in commercializing medicines and we will have to continue to invest significant resources to develop our capabilities. If we are unable to effectively establish and maintain marketing, sales, market access, distribution, and related functions, or enter into agreements with third parties to commercialize our medicines, we may not be able to successfully commercialize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historically relied on third parties to commercialize our marketed medicines and have limited experience as a company in commercializing medicines. TRYNGOLZA is our first independently launched medicine and we expect to independently launch additional medicines in the future. Any failure to effectively commercialize our medicines, including our failure to allocate resources to our commercial launches efficiently or timely, could adversely impact the revenue we generate from our medicines. If  the commercialization of TRYNGOLZA and future sales are less successful than anticipated by us or our investors or securities analysts, our stock price could decline and our business may be harmed.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will have to continue to invest significant financial and management resources to build and maintain the infrastructure required to successfully commercialize our medicines. We will need to establish and maintain effective sales teams for each of our independently launched medicines and there are significant risks involved in managing a sales organization, including our ability to hire, retain and incentivize qualified individuals, generate sufficient sales leads, provide adequate training to sales and marketing personnel, and effectively manage a geographically dispersed sales and marketing team. We must also continue to scale-up existing internal support functions to aid our commercialization efforts. Further, these existing support functions will need to work effectively in coordination with new commercial functional areas. Any failure to establish or maintain an effective commercialization infrastructure, including our sales, marketing, market access, distribution, and related capabilities, scale-up our existing support functions, or effectively integrate new functional areas, could adversely affect our ability to successfully commercialize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choose to rely on third parties to assist us in commercializing our medicines, we may not be able to enter into collaborations or hire consultants or external service providers on acceptable financial terms, or at all. In addition, if we continue to engage third parties to assist us in the commercialization of our medicines, our product revenues and profitability may be lower than if we commercialized such medicines ourselves.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proximity of our planned upcoming independent launches could increase the likelihood that such risks will occur.</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market does not accept our medicines, including our commercial medicines and our medicines in development, we are not likely to generate substantial revenues or become consistently profitable.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Even if our medicines are authorized for marketing, our success will depend upon the medical community, patients and third-party payers accepting our medicines as medically useful, cost-effective, safe and convenient. Even when the FDA or foreign regulatory authorities authorize our or our partners’ medicines for commercialization, doctors may not prescribe our medicines to treat patients. Furthermore, we and our partners may not successfully commercialize additional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in many of the markets where we or our partners may sell our medicines in the future, if we or our partners cannot agree with the government or other third-party payers regarding the price we can charge for our medicines, we may not be able to sell our medicines in that market. Similarly, cost control initiatives by governments or third-party payers could decrease the price received for our medicines or increase patient coinsurance to a level that makes our medicines, including our commercial medicines and our medicines in development, economically unviable. If the pricing of any of our medicines decreases for any reason, it will reduce our revenue for such medicine. For example, Biogen has in the past disclosed that SPINRAZA revenue decreased in part due to lower pricing in the U.S. and certain rest-of-world markets.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degree of market acceptance for our medicines, including our commercial medicines and our medicines in development, depends upon a number of factors, including the:</w:t>
      </w:r>
    </w:p>
    <w:p>
      <w:pPr>
        <w:pStyle w:val="TextBody"/>
        <w:bidi w:val="0"/>
        <w:spacing w:before="0" w:after="0"/>
        <w:jc w:val="left"/>
        <w:rPr/>
      </w:pPr>
      <w:r>
        <w:rPr/>
      </w:r>
    </w:p>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receipt and scope of marketing authorizations;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establishment and demonstration in the medical and patient community of the efficacy and safety of our medicines, public perception regarding our medicines and their potential advantages over competing products;</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and effectiveness of our medicines compared to other available therapies;</w:t>
            </w:r>
          </w:p>
        </w:tc>
      </w:tr>
    </w:tbl>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patient convenience of the dosing regimen for our medicines; and</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reimbursement policies of government and third-party payers.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on the profile of our medicines, physicians, patients, patient advocates, payers or the medical community in general may not accept or use any of the medicines that we or our partners may develop.</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example, the product label for WAYLIVRA in the EU requires regular blood monitoring, which has negatively affected our ability to attract and retain patients for this medicine.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government or other third-party payers fail to provide adequate coverage and payment rates for our medicines, including our commercial medicines and our medicines in development, our revenue will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both domestic and foreign markets, sales of our current and future products will depend in part upon the availability of coverage and reimbursement from third-party payers. The majority of patients in the U.S. who would fit within our target patient populations for our medicines have their healthcare supported by a combination of Medicare coverage, other government health programs such as Medicaid, managed care providers, private health insurers and other organizations. Coverage decisions may depend upon clinical and economic standards that disfavor new medicines when more established or lower cost therapeutic alternatives are already available or subsequently become available. Assuming coverage is approved, the resulting reimbursement payment rates might not be enough to make our medicines affordable. Even if favorable coverage status and adequate reimbursement rates are attained, less favorable coverage policies and reimbursement rates may be implemented in the future. Accordingly, our commercial medicines and our medicines in development will face competition from other therapies and medicines for limited financial resources. Furthermore, we or our partners may need to conduct post-marketing studies to demonstrate the cost-effectiveness of any future products to satisfy third-party payers. These studies might require us to commit a significant amount of management time and financial and other resources. In addition, third-party payers may never consider our future products as cost-effective and adequate third-party coverage and reimbursement might not be available to enable us to maintain price levels sufficient to realize an appropriate return on investment in product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Third-party payers, whether foreign or domestic, or governmental or commercial, are developing increasingly sophisticated methods of controlling healthcare costs. In addition, in the U.S., no uniform policy of coverage and reimbursement for medicines exists among third-party payers. Therefore, coverage and reimbursement for medicines can differ significantly from payer to payer. For example, the Affordable Care Act, or ACA, was passed in March 2010, and substantially changed the way healthcare is financed by both governmental and private insurers and continues to significantly impact the U.S. pharmaceutical industry. There have been judicial and Congressional challenges to certain aspects of the ACA, as well as efforts to repeal or replace certain aspects of the ACA. It is unclear how future litigation and healthcare reform measures will impact the ACA and our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Further, we believe that future coverage, reimbursement and pricing will likely be subject to increased restrictions both in the U.S. and in international markets. In the U.S., recent health reform measures have resulted in reductions in Medicare and other healthcare funding, and there have been several recent U.S. Congressional inquiries, legislation and executive orders designed to, among other things, reduce drug prices, increase competition (including by enhancing support for generic and biosimilar drugs), lower out-of-pocket drug costs for patients, curtail spread pricing practices by pharmacy benefit managers, and foster scientific innovation to promote better health care and improved health. In addition, the Inflation Reduction Act of 2022, or the IRA, includes key actions aimed at reducing the costs of prescription drugs and allows HHS to negotiate the price of certain single-source drugs covered under Medicare and establish a price cap on such drugs. The IRA, among other things, (1) directs HHS to negotiate the price of certain single-source drugs and biologics that have been on the market for at least seven years covered under Medicare, or the Medicare Drug Price Negotiation Program, and (2) imposes rebates under Medicare Part B and Medicare Part D to penalize price increases that outpace inflation. These provisions began to take effect progressively starting in fiscal year 2023, although the Medicare Drug Price Negotiation Program is currently subject to legal challenges. Under this program, HHS has already announced the agreed-upon prices of the first drugs that were subject to price negotiations and will announce the agreed-upon prices of additional drugs in the coming years. In response to an October 2022 executive order, on February 14, 2023, HHS released a report outlining three new models for testing by the CMS Innovation Center that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using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unclear whether or how these selected models or similar policy initiatives will impact prescription drug pricing in the future, particularly in light of the recent U.S. presidential and congressional elections.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Any reduction in reimbursement from Medicare and other government programs may result in a similar reduction in payments from private payers. Our future product sales may be subject to additional discounts from list price in the form of rebates and discounts provided to covered entities under the Public Health Service Act 340B drug pricing program. Changes to the 340B program or to Medicare or Medicaid programs at the federal or state level, including outcomes of ongoing litigation in our industry, may impact our product prices and rebate liability.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Third-party coverage and reimbursement for medicines may not be available or adequate in either the U.S. or international markets, which would negatively affect the potential commercial success of our products, our revenue and our profits.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or our partners fail to compete effectively, our medicines, including our commercial medicines and our medicines in development, will not generate significant revenues.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competitors engage in drug discovery throughout the world, are numerous, and include, among others, major pharmaceutical companies and specialized biopharmaceutical firms. In addition, other companies are engaged in developing RNA-targeted technology. Our competitors may succeed in developing medicines that are:</w:t>
      </w:r>
    </w:p>
    <w:p>
      <w:pPr>
        <w:pStyle w:val="TextBody"/>
        <w:bidi w:val="0"/>
        <w:spacing w:before="0" w:after="0"/>
        <w:jc w:val="left"/>
        <w:rPr/>
      </w:pPr>
      <w:r>
        <w:rPr/>
      </w:r>
    </w:p>
    <w:tbl>
      <w:tblPr>
        <w:tblW w:w="2898" w:type="dxa"/>
        <w:jc w:val="left"/>
        <w:tblInd w:w="0" w:type="dxa"/>
        <w:tblLayout w:type="fixed"/>
        <w:tblCellMar>
          <w:top w:w="0" w:type="dxa"/>
          <w:left w:w="0" w:type="dxa"/>
          <w:bottom w:w="0" w:type="dxa"/>
          <w:right w:w="0" w:type="dxa"/>
        </w:tblCellMar>
      </w:tblPr>
      <w:tblGrid>
        <w:gridCol w:w="38"/>
        <w:gridCol w:w="170"/>
        <w:gridCol w:w="2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priced lower than our medicines;</w:t>
            </w:r>
          </w:p>
        </w:tc>
      </w:tr>
    </w:tbl>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reimbursed more favorably by government and other third-party payers than our medicines;</w:t>
            </w:r>
          </w:p>
        </w:tc>
      </w:tr>
    </w:tbl>
    <w:tbl>
      <w:tblPr>
        <w:tblW w:w="2268" w:type="dxa"/>
        <w:jc w:val="left"/>
        <w:tblInd w:w="0" w:type="dxa"/>
        <w:tblLayout w:type="fixed"/>
        <w:tblCellMar>
          <w:top w:w="0" w:type="dxa"/>
          <w:left w:w="0" w:type="dxa"/>
          <w:bottom w:w="0" w:type="dxa"/>
          <w:right w:w="0" w:type="dxa"/>
        </w:tblCellMar>
      </w:tblPr>
      <w:tblGrid>
        <w:gridCol w:w="38"/>
        <w:gridCol w:w="17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safer than our medicines;</w:t>
            </w:r>
          </w:p>
        </w:tc>
      </w:tr>
    </w:tbl>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more effective than our medicines; or</w:t>
            </w:r>
          </w:p>
        </w:tc>
      </w:tr>
    </w:tbl>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more convenient to use than our medicines.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competitive developments could make our medicines, including our commercial medicines and our medicines in development, obsolete or non-competitive.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Certain of our partners are pursuing other technologies or developing other medicines either on their own or in collaboration with others, including our competitors, to treat some of the same diseases our own collaborative programs target. Competition may negatively impact a partner’s focus on and commitment to our medicines and, as a result, could delay or otherwise negatively affect the commercialization of our medicines, including our commercial medicines and our medicines in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Many of our competitors have substantially greater financial, technical and human resources than we do. In addition, many of these competitors have significantly greater experience than we do in conducting preclinical testing and human clinical studies of new pharmaceutical products, in obtaining FDA and other regulatory authorizations of such products and in commercializing such products. Accordingly, our competitors may succeed in obtaining regulatory authorization for products earlier than we do or more successfully commercialize their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several pharmaceutical and biotechnology companies engaged in the development or commercialization in certain geographic markets of products against targets that are also targets of products in our development pipeline or of medicines we are commercializing. For example:</w:t>
      </w:r>
    </w:p>
    <w:p>
      <w:pPr>
        <w:pStyle w:val="TextBody"/>
        <w:bidi w:val="0"/>
        <w:spacing w:before="0" w:after="0"/>
        <w:jc w:val="left"/>
        <w:rPr/>
      </w:pPr>
      <w:r>
        <w:rPr/>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Onasemnogene abeparvovec and risdiplam compete with SPINRAZA;</w:t>
            </w:r>
          </w:p>
        </w:tc>
      </w:tr>
    </w:tbl>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Acoramidis, patisiran, tafamidis, tafamidis meglumine and vutrisiran compete with WAINUA;</w:t>
            </w:r>
          </w:p>
        </w:tc>
      </w:tr>
    </w:tbl>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Nexiguran ziclumeran, ALXN2220 and NNC6019-0001 could compete with WAINUA;</w:t>
            </w:r>
          </w:p>
        </w:tc>
      </w:tr>
    </w:tbl>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Plozasiran, pegozafermin and NST-1024 could compete with TRYNGOLZA and WAYLIVRA;</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Lanadelumab-flyo, C1 esterase inhibitor, berotralstat, C1 esterase inhibitor subcutaneous, garadacimab, deucrictibant,  NTLA-2002 and STAR-0215 could compete with donidalorsen;</w:t>
            </w:r>
          </w:p>
        </w:tc>
      </w:tr>
    </w:tbl>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Olpasiran, zerlasiran, lepodisiran and muvalaplin could compete with pelacarsen;</w:t>
            </w:r>
          </w:p>
        </w:tc>
      </w:tr>
    </w:tbl>
    <w:tbl>
      <w:tblPr>
        <w:tblW w:w="4143" w:type="dxa"/>
        <w:jc w:val="left"/>
        <w:tblInd w:w="0" w:type="dxa"/>
        <w:tblLayout w:type="fixed"/>
        <w:tblCellMar>
          <w:top w:w="0" w:type="dxa"/>
          <w:left w:w="0" w:type="dxa"/>
          <w:bottom w:w="0" w:type="dxa"/>
          <w:right w:w="0" w:type="dxa"/>
        </w:tblCellMar>
      </w:tblPr>
      <w:tblGrid>
        <w:gridCol w:w="38"/>
        <w:gridCol w:w="170"/>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NI-005/AP-101 could compete with QALSODY;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VIR-2218, VIR-3434, BRII-179, AB-729, selgantolimod, bersacapavir,  REP 2139-Mg and VTP-300 could complete with bepirovirsen;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Budesonide, sparsentan, atrasentan, iptacopan, zigakibart, sibeprenlimab, atacicept, ravulizumab, vemircopan, felzartamab, telitacicept and povetacicept could compete with sefaxersen; and</w:t>
            </w:r>
          </w:p>
        </w:tc>
      </w:tr>
    </w:tbl>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GTX-102, alogabat and NNZ-2591 could compete with ION582.</w:t>
            </w:r>
          </w:p>
        </w:tc>
      </w:tr>
    </w:tbl>
    <w:p>
      <w:pPr>
        <w:pStyle w:val="TextBody"/>
        <w:bidi w:val="0"/>
        <w:spacing w:before="0" w:after="0"/>
        <w:ind w:left="1080" w:right="0" w:hanging="36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SPINRAZA injection for intrathecal use is an antisense medicine indicated for the treatment of SMA patients of all ages approved in over 50 countries. Specifically, SPINRAZA faces competition from onasemnogene abeparvovec, a gene therapy product that was approved in the U.S. in May 2019 and in the EU in May 2020 for the treatment of SMA, as well as risdiplam, an oral product for the treatment of SMA that was approved in the U.S. in August 2020 and in the EU in March 2021. Biogen has in the past disclosed that SPINRAZA revenue decreased due to a reduction in demand as a result of increased competition and that future sales of SPINRAZA may be adversely affected by competing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companies that are developing medicines that target the same patient populations as our medicines in development may compete with us to enroll participants in the clinical trials for such medicines, which could make it more difficult for us to complete enrollment for these clinical trials.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medicines could be subject to regulatory limitations following approval.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Following approval of a medicine, we and our partners must comply with comprehensive government regulations regarding the manufacture, marketing and distribution of medicines. Promotional communications regarding prescription medicines must be consistent with the information in the product’s approved labeling. We or our partners may not obtain the labeling claims necessary or desirable to successfully commercialize our medicines, including our commercial medicines and our medicines in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and foreign regulatory bodies have the authority to impose significant restrictions on an approved medicine through the product label and on advertising, promotional and distribution activities.</w:t>
      </w:r>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Prescription medicines may be promoted only for the approved indication(s) in accordance with the approved label. The FDA and other regulatory authorities actively enforce the laws and regulations prohibiting the promotion of off-label uses, and a company that is found to have improperly promoted off-label uses may be subject to significant liability.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In addition, when approved, the FDA or a foreign regulatory authority may condition approval on the performance of post-approval clinical studies or patient monitoring, which could be time consuming and expensive. For example, in connection with the conditional marketing approval for WAYLIVRA in the EU, we are required to conduct a post-authorization safety study to evaluate the safety of WAYLIVRA on thrombocytopenia and bleeding in FCS patients taking WAYLIVRA. If the results of such post-marketing studies are not satisfactory, the FDA, EC or other foreign regulatory authorities may withdraw marketing authorization or may condition continued marketing on commitments from us or our partners that may be expensive and time consuming to fulfill.</w:t>
      </w:r>
    </w:p>
    <w:p>
      <w:pPr>
        <w:pStyle w:val="TextBody"/>
        <w:bidi w:val="0"/>
        <w:spacing w:before="0" w:after="0"/>
        <w:jc w:val="left"/>
        <w:rPr/>
      </w:pPr>
      <w:r>
        <w:rPr/>
      </w:r>
    </w:p>
    <w:p>
      <w:pPr>
        <w:pStyle w:val="TextBody"/>
        <w:bidi w:val="0"/>
        <w:spacing w:before="0" w:after="0"/>
        <w:ind w:left="0" w:right="0" w:firstLine="792"/>
        <w:jc w:val="both"/>
        <w:rPr>
          <w:rFonts w:ascii="Times New Roman;Times;serif" w:hAnsi="Times New Roman;Times;serif"/>
          <w:color w:val="000000"/>
          <w:sz w:val="20"/>
        </w:rPr>
      </w:pPr>
      <w:r>
        <w:rPr>
          <w:rFonts w:ascii="Times New Roman;Times;serif" w:hAnsi="Times New Roman;Times;serif"/>
          <w:color w:val="000000"/>
          <w:sz w:val="20"/>
        </w:rPr>
        <w:t>If we or others identify side effects after any of our medicines are on the market, or if manufacturing problems occur subsequent to regulatory approval, or if we, our CMOs or our partners fail to comply with regulatory requirements, we or our partners may, among other things, lose regulatory approval and be forced to withdraw products from the market, need to conduct additional clinical studies, incur restrictions on the marketing, distribution or manufacturing of the product, and/or change the labeling of our medicines.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We depend on our collaborations with Biogen for the development and commercialization of SPINRAZA and QALSODY.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entered into separate collaborative arrangements with Biogen to develop and commercialize SPINRAZA and QALSODY. We entered into these collaborations primarily to:</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fund our development activities for SPINRAZA and QALSODY;</w:t>
            </w:r>
          </w:p>
        </w:tc>
      </w:tr>
    </w:tbl>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 and obtain regulatory approvals for SPINRAZA and QALSODY; and</w:t>
            </w:r>
          </w:p>
        </w:tc>
      </w:tr>
    </w:tbl>
    <w:tbl>
      <w:tblPr>
        <w:tblW w:w="4773" w:type="dxa"/>
        <w:jc w:val="left"/>
        <w:tblInd w:w="0" w:type="dxa"/>
        <w:tblLayout w:type="fixed"/>
        <w:tblCellMar>
          <w:top w:w="0" w:type="dxa"/>
          <w:left w:w="0" w:type="dxa"/>
          <w:bottom w:w="0" w:type="dxa"/>
          <w:right w:w="0" w:type="dxa"/>
        </w:tblCellMar>
      </w:tblPr>
      <w:tblGrid>
        <w:gridCol w:w="38"/>
        <w:gridCol w:w="17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successfully commercialize SPINRAZA and QALSODY.</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relying on Biogen to obtain additional regulatory approvals for SPINRAZA and QALSODY, generate additional clinical data for SPINRAZA and QALSODY, manufacture SPINRAZA and QALSODY, and successfully commercialize SPINRAZA and QALSODY. In general, we cannot control the amount and timing of resources that Biogen devotes to our collaborations. If Biogen fails to further develop SPINRAZA or QALSODY, obtain additional regulatory approvals for SPINRAZA or QALSODY, manufacture SPINRAZA or QALSODY, or successfully commercialize SPINRAZA or QALSODY, or if Biogen’s efforts in any of these respects are ineffective, revenues for SPINRAZA or QALSODY would be negatively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our collaborations with Biogen may not continue for various reasons. Biogen can terminate our collaborations at any time. If Biogen stops developing or commercializing SPINRAZA or QALSODY, we would have to seek or spend additional funding, and SPINRAZA’s or QALSODY’s commercialization may be harmed.</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We depend on our collaboration with AstraZeneca for the joint development and commercialization of WAINUA.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entered into a collaborative arrangement with AstraZeneca to develop and commercialize WAINUA. Under the terms of the collaboration agreement, we and AstraZeneca will co-develop and co-commercialize WAINUA in the U.S. and AstraZeneca will have the sole right to commercialize WAINUA in all other countries. As a company we do not have experience with co-commercialization arrangements. We also do not have control over (1) the amount and timing of resources that AstraZeneca devotes to our collaboration, particularly outside of the U.S; (2) the pricing and reimbursement strategies for WAINUA; and (3) whether AstraZeneca elects to terminate the collaborative arrangement. If the co-commercialization arrangement for WAINUA is not successful for any reason, WAINUA may not meet our commercial objectives and our revenues for WAINUA may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a Joint Steering Committee, or JSC, having equal membership from us and AstraZeneca, and various subcommittees oversee and coordinate the development, manufacturing, commercialization and other exploitation activities for WAINUA in the U.S. by mutual agreement. If any subcommittee cannot reach unanimous agreement on any matter within its respective scope of authority, such matter may be referred to the JSC for resolution. If the JSC cannot come to a mutual agreement on any particular matter, this could delay our ability to develop or commercialize WAINUA.</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are not successful in expanding our manufacturing capabilities or cannot manufacture our medicines or contract with a third party to manufacture our medicines at costs that allow us to charge competitive prices to buyers, we cannot market our products profitably.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successfully commercialize any of our medicines, we need to optimize and manage large-scale commercial manufacturing capabilities either on a standalone basis or through a third-party manufacturer. As our drug development and commercial pipeline increases and matures, we will have a greater need for clinical trial and commercial manufacturing capacity. We will also need to ensure that we have the manufacturing capabilities in place to support advances in our drug development activities, such as new chemistries. While we believe our current capabilities and those we obtain through third-party manufacturers support our manufacturing needs now, it will be important to expand our manufacturing infrastructure in the future, which will likely require substantial expenditures. If we are not successful in executing this expansion, it could limit our ability to meet our manufacturing requirements and commercial objectives in the future.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we have limited experience manufacturing pharmaceutical products of the chemical class represented by our medicines, called oligonucleotides, on a commercial scale for the systemic administration of a medicine. There are a small number of suppliers for certain capital equipment and raw materials that we use to manufacture our medicines, and some of these suppliers will need to increase their scale of production to meet our projected needs for commercial manufacturing. If a supplier chooses to devote more resources to other products, especially products with higher manufacturing capacity needs, that could impact such supplier’s capability to deliver our requirements timely. Further, we must continue to improve our manufacturing processes to allow us to reduce our drug costs. We or our partners may not be able to manufacture our medicines at a cost or in quantities necessary to make commercially successful products.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Manufacturers, including us, must adhere to the FDA’s cGMP regulations and similar regulations in foreign countries, which the applicable regulatory authorities enforce through facilities inspection programs. We, our partners and our contract manufacturers may not comply or maintain compliance with cGMP, or similar foreign regulations. Non-compliance could significantly delay or prevent receipt of marketing authorizations for our medicines, including authorizations for our commercial medicines and our medicines in development, or could result in enforcement action after authorization that might limit the commercial success of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rely on third-party manufacturers to supply the drug substance and drug product for TRYNGOLZA and WAINUA and drug product for WAYLIVRA. The operations of our suppliers, many of which are located outside of the United States, are subject to additional risks that are beyond our control. For example, there have been Congressional legislative proposals, such as the recent bill titled the BIOSECURE Act, to discourage contracting with Chinese companies for the development or manufacturing of pharmaceutical products. In addition, merger and acquisition activity within the commercial manufacturing space could reduce the availability of resources from our third-party manufacturers. Delays or disruption to our own or third-party commercial manufacturing capabilities for any reason could limit the commercial success of our medicines.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Related to the Development and Regulatory Approval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or our partners fail to obtain regulatory approval for our medicines and additional approvals for our commercial medicines, we or our partners cannot sell them in the applicable markets.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cannot guarantee that any of our medicines will be considered safe and effective or will be approved for commercialization. In addition, it is possible that our commercial medicines may not be approved in additional markets or for additional indications. We and our partners must conduct time-consuming, extensive and costly clinical studies to demonstrate the safety and efficacy of each of our medicines before they can be approved or receive additional approvals for sale. We and our partners must conduct these studies in compliance with FDA regulations and with comparable regulations in other countries.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and our partners may not obtain necessary regulatory approvals on a timely basis, if at all, for our medicines. It is possible that regulatory authorities will not approve our medicines for marketing or our commercial medicines in additional markets or for additional indications. If the FDA or another regulatory authority believes that we or our partners have not sufficiently demonstrated the safety or efficacy of any of our medicines, including our commercial medicines or our medicines in development, the authority will not approve the specific medicine or will require additional studies, which could be time consuming and expensive and delay or harm commercialization of the medicine. For example, in August 2018 we received a complete response letter from the FDA regarding the new drug application for WAYLIVRA in which the FDA determined that the safety concerns identified with WAYLIVRA in our clinical development program outweighed the expected benefits of triglyceride lowering in patients with FCS. We also received a Notice of Non-Compliance Withdrawal Letter, or Non-W, from Health Canada for WAYLIVRA in November 2018.</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FDA or other comparable foreign regulatory authorities can delay, limit or deny approval of a medicine for many reasons, including:</w:t>
      </w:r>
    </w:p>
    <w:p>
      <w:pPr>
        <w:pStyle w:val="TextBody"/>
        <w:bidi w:val="0"/>
        <w:spacing w:before="0" w:after="0"/>
        <w:jc w:val="left"/>
        <w:rPr/>
      </w:pPr>
      <w:r>
        <w:rPr/>
      </w:r>
    </w:p>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the design or implementation of our clinical studies;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be unable to demonstrate to the satisfaction of the FDA or other regulatory authorities that a medicine is safe and effective for any indication;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not accept clinical data from studies conducted at clinical facilities that have deficient clinical practices or that are in countries where the standard of care is potentially different from the U.S.;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be unable to demonstrate that our medicine’s clinical and other benefits outweigh its safety risks to support approval;</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disagree with the interpretation of data from preclinical or clinical studies;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such authorities may find deficiencies in the manufacturing processes or facilities of third-party manufacturers who manufacture clinical and commercial supplies for our medicines;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approval policies or regulations of such authorities or their prior guidance to us or our partners during clinical development may significantly change in a manner rendering our clinical data insufficient for approval.</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Failure to receive marketing authorization for our medicines in development, or failure to receive additional marketing authorizations for our commercial medicines, or delays in these authorizations, could prevent or delay commercial introduction of the medicine, and, as a result, could negatively impact our ability to generate revenue from product sales.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results of clinical testing indicate that any of our medicines are not suitable for commercial use, we may need to abandon one or more of our drug development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Drug discovery and drug development have inherent risks and the historical failure rate for drugs is high. Antisense medicines are a relatively new approach to therapeutics. If we cannot demonstrate that our medicines are safe and effective for human use in the intended indication(s), we may need to abandon one or more of our drug development programs.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Even if our medicines are successful in preclinical and human clinical studies, the medicines may not be successful in late-stage clinical studies. Similarly, topline, preliminary or interim data we release for any of our clinical studies may not be indicative of full or final results from such study.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Successful results in preclinical or initial human clinical studies, including the Phase 2 results for some of our medicines in development, may not predict the results of subsequent clinical studies. If any of our medicines in Phase 3 clinical studies do not show sufficient safety and efficacy in patients with the targeted indication, or if such studies are discontinued for any other reason, it could negatively impact our development and commercialization goals for these medicines and our stock price could decline. In addition, we may release topline, preliminary or interim data for any of our clinical studies.  The interim, topline or preliminary results we report may differ from future results of the same studies, or different conclusions or considerations may qualify such results, once additional data have been received and fully evaluated.  As a result, such data should be viewed with caution until the final data are available.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past, we have invested in clinical studies of medicines that have not met the primary clinical endpoints in their Phase 3 studies or have been discontinued for other reasons. For example, in October 2021, Biogen reported that QALSODY did not meet the primary clinical endpoint in the Phase 3 VALOR study; however, trends favoring QALSODY were seen across multiple secondary and exploratory measures of disease activity and clinical function. In addition, in March 2021, Roche decided to discontinue dosing in the Phase 3 GENERATION HD1 study of tominersen in patients with manifest Huntington’s disease based on the results of a pre-planned review of data from the Phase 3 study conducted by an unblinded Independent Data Monitoring Committee. Similar results could occur in clinical studies for our other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a number of factors that could cause a clinical study to fail or be delayed, including:</w:t>
      </w:r>
    </w:p>
    <w:p>
      <w:pPr>
        <w:pStyle w:val="TextBody"/>
        <w:bidi w:val="0"/>
        <w:spacing w:before="0" w:after="0"/>
        <w:jc w:val="left"/>
        <w:rPr/>
      </w:pPr>
      <w:r>
        <w:rPr/>
      </w:r>
    </w:p>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clinical study may produce negative or inconclusive results;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regulators may require that we hold, suspend or terminate clinical research for noncompliance with regulatory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our partners, the FDA or foreign regulatory authorities could suspend or terminate a clinical study due to adverse side effects of a medicine on subjects or lack of efficacy in the trial;</w:t>
            </w:r>
          </w:p>
        </w:tc>
      </w:tr>
    </w:tbl>
    <w:tbl>
      <w:tblPr>
        <w:tblW w:w="9903" w:type="dxa"/>
        <w:jc w:val="left"/>
        <w:tblInd w:w="0" w:type="dxa"/>
        <w:tblLayout w:type="fixed"/>
        <w:tblCellMar>
          <w:top w:w="0" w:type="dxa"/>
          <w:left w:w="0" w:type="dxa"/>
          <w:bottom w:w="0" w:type="dxa"/>
          <w:right w:w="0" w:type="dxa"/>
        </w:tblCellMar>
      </w:tblPr>
      <w:tblGrid>
        <w:gridCol w:w="38"/>
        <w:gridCol w:w="170"/>
        <w:gridCol w:w="9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may decide, or regulators may require us, to conduct additional preclinical testing or clinical studies;</w:t>
            </w:r>
          </w:p>
        </w:tc>
      </w:tr>
    </w:tbl>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enrollment in our clinical studies may be slower than we anticipate;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or our partners, including our independent clinical investigators, contract research organizations and other third-party service providers on which we rely, may not identify, recruit or train suitable clinical investigators at a sufficient number of study sites or timely enroll a sufficient number of study subjects in the clinical study;</w:t>
            </w:r>
          </w:p>
        </w:tc>
      </w:tr>
    </w:tbl>
    <w:tbl>
      <w:tblPr>
        <w:tblW w:w="8508" w:type="dxa"/>
        <w:jc w:val="left"/>
        <w:tblInd w:w="0" w:type="dxa"/>
        <w:tblLayout w:type="fixed"/>
        <w:tblCellMar>
          <w:top w:w="0" w:type="dxa"/>
          <w:left w:w="0" w:type="dxa"/>
          <w:bottom w:w="0" w:type="dxa"/>
          <w:right w:w="0" w:type="dxa"/>
        </w:tblCellMar>
      </w:tblPr>
      <w:tblGrid>
        <w:gridCol w:w="38"/>
        <w:gridCol w:w="17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institutional review board for a prospective site might withhold or delay its approval for the study;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people who enroll in the clinical study may later drop out due to adverse events, a perception they are not benefiting from participating in the study, fatigue with the clinical study process or personal issues;</w:t>
            </w:r>
          </w:p>
        </w:tc>
      </w:tr>
    </w:tbl>
    <w:tbl>
      <w:tblPr>
        <w:tblW w:w="5433" w:type="dxa"/>
        <w:jc w:val="left"/>
        <w:tblInd w:w="0" w:type="dxa"/>
        <w:tblLayout w:type="fixed"/>
        <w:tblCellMar>
          <w:top w:w="0" w:type="dxa"/>
          <w:left w:w="0" w:type="dxa"/>
          <w:bottom w:w="0" w:type="dxa"/>
          <w:right w:w="0" w:type="dxa"/>
        </w:tblCellMar>
      </w:tblPr>
      <w:tblGrid>
        <w:gridCol w:w="38"/>
        <w:gridCol w:w="17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clinical study site may deviate from the protocol for the study;</w:t>
            </w:r>
          </w:p>
        </w:tc>
      </w:tr>
    </w:tbl>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of our clinical studies may be greater than we anticipate;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partners may decide not to exercise any existing options to license and conduct additional clinical studies for our medicines;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supply or quality of our medicines or other materials necessary to conduct our clinical studies may be insufficient, inadequate or delayed.</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Further, the FDA or other regulatory authorities could request, among other things, additional information or commitments before we can start or continue a clinical study, protocol amendments, increased safety monitoring, additional product labeling information, and post-approval commitments. This happened in connection with the conditional marketing approval for WAYLIVRA in the EU, as the European Commission is requiring us to conduct a post-authorization safety study to evaluate the safety of WAYLIVRA on thrombocytopenia and bleeding in FCS patients taking WAYLIVRA. In addition, under accelerated approval the FDA is requiring completion of the ongoing Phase 3 trial for QALSODY to confirm the clinical benefit of QALSODY.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Moreover, our commercial medicines are chemically similar to each other. As a result, a safety observation we encounter with one of our medicines could have, or be perceived by a regulatory authority to have, an impact on a different medicine we are developing. This could cause the FDA or other regulators to ask questions or take actions that could harm or delay our ability to develop and commercialize our medicines or increase our costs. Any failure or delay in our clinical studies could reduce the commercial potential or viability of our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depend on third parties to conduct clinical studies for our medicines and any failure of those parties to fulfill their obligations could adversely affect our development and commercialization plans.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depend on independent clinical investigators, contract research organizations and other third-party service providers to conduct our clinical studies for our medicines and expect to continue to do so in the future. For example, we use clinical research organizations, such as Icon Clinical Research Limited, Medpace, Inc., Parexel International Corporation, Syneos Health, Inc. and Thermo Fisher Scientific Inc. for the clinical studies for our medicines, including WAINUA for the treatment of ATTR-CM, donidalorsen, olezarsen, ulefnersen and zilganersen. We rely heavily on these parties for successful execution of our clinical studies, but do not control many aspects of their activities. For example, the investigators are not our employees, but we are responsible for ensuring that such investigators conduct each of our clinical studies in accordance with the general investigational plan and approved protocols for the study. Third parties may not complete activities on schedule or may not conduct our clinical studies in accordance with regulatory requirements or our stated protocols. For example, some of our key vendors have in the past experienced labor shortages, which impacted their ability to perform services for us for certain of our clinical trials. Subsequent failures of these third parties to carry out their obligations, or a termination of our relationship with such third parties, could delay or prevent the development, marketing authorization and commercialization of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while we do not have any clinical trial sites in Russia, Ukraine or Gaza, we do have a limited number of clinical trial sites in Israel that may be materially impacted by the ongoing military conflicts in Israel and elsewhere in the Middle East and could result in difficulties enrolling or completing our clinical trials in such areas on schedule.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Since corporate partnering is part of our strategy to fund the advancement and commercialization of our development programs, if any of our collaborative partners fail to fund our collaborative programs, or if we cannot obtain additional partners, we may have to delay or stop progress on our drug development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 date, corporate partnering has played a significant role in our strategy to fund our development programs and to add key development resources. While we are now commercializing some of our medicines independently, we still plan to continue to rely on additional collaborative arrangements to develop and commercialize some of our unpartnered medicines. However, we may not be able to negotiate favorable collaborative arrangements for these drug programs. If we cannot continue to secure additional collaborative partners, our revenues could decrease and the development of our medicines could suffer.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corporate partners are developing and funding many of the medicines in our development pipeline. For example, we are relying on:</w:t>
      </w:r>
    </w:p>
    <w:p>
      <w:pPr>
        <w:pStyle w:val="TextBody"/>
        <w:bidi w:val="0"/>
        <w:spacing w:before="0" w:after="0"/>
        <w:jc w:val="left"/>
        <w:rPr/>
      </w:pPr>
      <w:r>
        <w:rPr/>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AstraZeneca for the joint development and funding of WAINUA;</w:t>
            </w:r>
          </w:p>
        </w:tc>
      </w:tr>
    </w:tbl>
    <w:tbl>
      <w:tblPr>
        <w:tblW w:w="4518" w:type="dxa"/>
        <w:jc w:val="left"/>
        <w:tblInd w:w="0" w:type="dxa"/>
        <w:tblLayout w:type="fixed"/>
        <w:tblCellMar>
          <w:top w:w="0" w:type="dxa"/>
          <w:left w:w="0" w:type="dxa"/>
          <w:bottom w:w="0" w:type="dxa"/>
          <w:right w:w="0" w:type="dxa"/>
        </w:tblCellMar>
      </w:tblPr>
      <w:tblGrid>
        <w:gridCol w:w="38"/>
        <w:gridCol w:w="17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Novartis for development and funding of pelacarsen;</w:t>
            </w:r>
          </w:p>
        </w:tc>
      </w:tr>
    </w:tbl>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GSK for development and funding of bepirovirsen; and</w:t>
            </w:r>
          </w:p>
        </w:tc>
      </w:tr>
    </w:tbl>
    <w:tbl>
      <w:tblPr>
        <w:tblW w:w="4323" w:type="dxa"/>
        <w:jc w:val="left"/>
        <w:tblInd w:w="0" w:type="dxa"/>
        <w:tblLayout w:type="fixed"/>
        <w:tblCellMar>
          <w:top w:w="0" w:type="dxa"/>
          <w:left w:w="0" w:type="dxa"/>
          <w:bottom w:w="0" w:type="dxa"/>
          <w:right w:w="0" w:type="dxa"/>
        </w:tblCellMar>
      </w:tblPr>
      <w:tblGrid>
        <w:gridCol w:w="38"/>
        <w:gridCol w:w="17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Roche for development and funding of sefaxersen.</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of these pharmaceutical companies stops developing and funding these medicines, our business could suffer and we may not have, or be willing to dedicate, the resources available to develop these medicines on our own. Our collaborators can terminate their relationships with us under certain circumstances, many of which are outside of our control. For example, in 2022, Pfizer and Bayer decided to discontinue the clinical development programs for vupanorsen and fesomersen,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Even with funding from corporate partners, if our partners do not effectively perform their obligations under our agreements with them, it would delay or stop the progress of our drug development and commercial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receiving funding, we enter into collaborative arrangements with third parties to:</w:t>
      </w:r>
    </w:p>
    <w:p>
      <w:pPr>
        <w:pStyle w:val="TextBody"/>
        <w:bidi w:val="0"/>
        <w:spacing w:before="0" w:after="0"/>
        <w:jc w:val="left"/>
        <w:rPr/>
      </w:pPr>
      <w:r>
        <w:rPr/>
      </w:r>
    </w:p>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 clinical studies;</w:t>
            </w:r>
          </w:p>
        </w:tc>
      </w:tr>
    </w:tbl>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seek and obtain marketing authorizations; and</w:t>
            </w:r>
          </w:p>
        </w:tc>
      </w:tr>
    </w:tbl>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manufacture and commercialize our medicines.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Once we have secured a collaborative arrangement to further develop and commercialize one of our drug development programs, such as our collaborations with AstraZeneca, Biogen, GSK, Novartis, Otsuka and Roche, these collaborations may not continue or result in commercialized medicines, or may not progress as quickly as we anticipated.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example, a collaborator such as AstraZeneca, Biogen, GSK, Novartis, Otsuka or Roche, could determine that it is in its financial interest to:</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pursue alternative technologies or develop alternative products that may be competitive with the medicine that is part of the collaboration with us;</w:t>
            </w:r>
          </w:p>
        </w:tc>
      </w:tr>
    </w:tbl>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pursue higher-priority programs or change the focus of its own development programs; or</w:t>
            </w:r>
          </w:p>
        </w:tc>
      </w:tr>
    </w:tbl>
    <w:tbl>
      <w:tblPr>
        <w:tblW w:w="7038" w:type="dxa"/>
        <w:jc w:val="left"/>
        <w:tblInd w:w="0" w:type="dxa"/>
        <w:tblLayout w:type="fixed"/>
        <w:tblCellMar>
          <w:top w:w="0" w:type="dxa"/>
          <w:left w:w="0" w:type="dxa"/>
          <w:bottom w:w="0" w:type="dxa"/>
          <w:right w:w="0" w:type="dxa"/>
        </w:tblCellMar>
      </w:tblPr>
      <w:tblGrid>
        <w:gridCol w:w="38"/>
        <w:gridCol w:w="17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choose to devote fewer resources to our medicines than it does to its own medicines.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any of these occur, it could affect our partner’s commitment to the collaboration with us and could delay or otherwise negatively affect the commercialization of our medicines, including QALSODY, SPINRAZA, WAINUA, bepirovirsen, donidalorsen, sefaxersen and pelacarsen.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may not be able to benefit from designations for our medicines from regulatory authorities that are intended to confer benefits such as financial incentives or an accelerated regulatory pathway.</w:t>
      </w:r>
    </w:p>
    <w:p>
      <w:pPr>
        <w:pStyle w:val="TextBody"/>
        <w:bidi w:val="0"/>
        <w:spacing w:before="0" w:after="0"/>
        <w:jc w:val="left"/>
        <w:rPr/>
      </w:pPr>
      <w:r>
        <w:rPr/>
      </w:r>
    </w:p>
    <w:p>
      <w:pPr>
        <w:pStyle w:val="TextBody"/>
        <w:bidi w:val="0"/>
        <w:spacing w:before="0" w:after="0"/>
        <w:ind w:left="0" w:right="0" w:firstLine="816"/>
        <w:jc w:val="both"/>
        <w:rPr>
          <w:rFonts w:ascii="Times New Roman;Times;serif" w:hAnsi="Times New Roman;Times;serif"/>
          <w:color w:val="000000"/>
          <w:sz w:val="20"/>
        </w:rPr>
      </w:pPr>
      <w:r>
        <w:rPr>
          <w:rFonts w:ascii="Times New Roman;Times;serif" w:hAnsi="Times New Roman;Times;serif"/>
          <w:color w:val="000000"/>
          <w:sz w:val="20"/>
        </w:rPr>
        <w:t>In the U.S., under the Orphan Drug Act, the FDA may designate a medicine as an Orphan Drug if it is intended to treat a rare disease or condition affecting fewer than 200,000 individuals in the U.S. Orphan Drug designation does not convey any advantage in, or shorten the duration of, the regulatory review and approval process, but it can provide financial incentives, such as tax advantages and user-fee waivers, as well as longer regulatory exclusivity periods. The FDA has granted Orphan Drug designation to TRYNGOLZA for the treatment of patients with FCS, to WAINUA for the treatment of patients with ATTR, to ulefnersen for the treatment of patients with FUS-ALS, to ION582 for the treatment of patients with Angelman syndrome, and to some of our earlier stage medicines. The FDA and EMA have granted Orphan Drug designation to donidalorsen for the treatment of patients with HAE, to WAYLIVRA for the treatment of patients with FCS, to tominersen for the treatment of patients with HD, and to some of our earlier stage medicines. In addition, the EMA has granted Orphan Drug designation to WAYLIVRA for the treatment of patients with FPL. Even if approval is obtained on a medicine that has been designated as an Orphan Drug, we may lose Orphan Drug exclusivity if the FDA or EMA determines that the request for designation was materially defective or if we cannot assure sufficient quantity of the applicable medicine to meet the needs of patients with the rare disease or condition, or if a competitor is able to gain approval for the same or a substantially similar medicine in a safer or more effective form or that makes a major contribution to patient care. If we lose Orphan Drug exclusivity on any of our medicines, we may face increased competition and lose market share for such medicine.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bookmarkStart w:id="7" w:name="_Hlk189487623"/>
      <w:bookmarkEnd w:id="7"/>
      <w:r>
        <w:rPr>
          <w:rFonts w:ascii="Times New Roman;Times;serif" w:hAnsi="Times New Roman;Times;serif"/>
          <w:color w:val="000000"/>
          <w:sz w:val="20"/>
        </w:rPr>
        <w:t>We may also seek rare pediatric disease designation for some of our medicines. The FDA defines “rare pediatric disease” as a serious or life-threatening disease in which the serious or life-threatening manifestations primarily affect individuals aged from birth to 18 years or is a rare disease or condition within the meaning of the Orphan Drug Act. Designation of a medicine as a medicine for a rare pediatric disease does not guarantee that a marketing application for such medicine will meet the eligibility criteria for a rare pediatric disease priority review voucher, or PRV, at the time the application is approved. Under the FDCA, we will need to request a rare pediatric disease PRV in our original marketing application for any potential medicine for which we have received rare pediatric disease designation. The FDA may determine that a marketing application for any such medicine, if approved, does not meet the eligibility criteria for a PRV. Under the current statutory sunset provisions, after December 20, 2024, the FDA may only award a PRV for an approved rare pediatric disease application if the sponsor has rare pediatric disease designation for the drug or biologic that is the subject of such application, and that designation was granted by December 20, 2024. After September 30, 2026, the FDA may not award any rare pediatric disease PRVs. However, it is possible the authority for FDA to award rare pediatric disease PRV will be further extended by Congress.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Risks Associated with our Businesses as a Whole</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our financial condition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we fail to obtain timely funding, we may need to curtail or abandon some of our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Many of our medicines are undergoing clinical studies or are in the early stages of research and development. Most of our programs will require significant additional research, development, manufacturing, preclinical and clinical testing, marketing authorizations, preclinical activities and commitment of significant additional resources prior to their successful commercialization. In addition, as we commercialize more medicines on our own, we will need to invest significant financial resources to continue developing the infrastructure required to successfully commercialize our medicines, including building and maintaining new support functions and scaling up existing internal support functions and expanding our manufacturing capabilities. All of these activities will require significant cash. As of December 31, 2024, we had cash, cash equivalents and short-term investments equal to $2.3 billion. If we or our partners do not meet our goals to successfully commercialize our medicines, including our commercial medicines, or to license certain medicines and proprietary technologies, we will need additional funding in the future. Our future capital requirements will depend on many factors such as: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_Hlk188452784"/>
      <w:bookmarkStart w:id="9" w:name="_Hlk188452784"/>
      <w:bookmarkEnd w:id="9"/>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successful commercialization of our commercial medicines;</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profile and launch timing of our medicines in development;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existing collaborative relationships and our ability to establish and maintain additional collaborative arrangements;</w:t>
            </w:r>
          </w:p>
        </w:tc>
      </w:tr>
    </w:tbl>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continued scientific progress in our research, drug discovery and development programs;</w:t>
            </w:r>
          </w:p>
        </w:tc>
      </w:tr>
    </w:tbl>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size of our programs and progress with preclinical and clinical studies;</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time and costs involved in obtaining marketing authorizations;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competing technological and market developments, including the introduction by others of new therapies that address our markets; and</w:t>
            </w:r>
          </w:p>
        </w:tc>
      </w:tr>
    </w:tbl>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manufacturing requirements and capacity to fulfill such requirements.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need additional funds, we may need to raise them through public or private financing. Additional financing may not be available on acceptable terms or at all. If we raise additional funds by issuing equity securities, the shares of existing stockholders will be diluted and the price, as well as the price of our other securities, may decline. For example, in September 2024, we completed an underwritten public offering of 11,500,000 shares of our common stock for total net proceeds, after deducting underwriting discounts and commissions and other offering expenses payable by us, of approximately $489.1 million. If adequate funds are not available or not available on acceptable terms, we may have to cut back on one or more of our research, drug discovery or development programs, or commercial operations. Alternatively, we may obtain funds through arrangements with collaborative partners or others, which could require us to give up rights to certain of our technologies or medicines.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have incurred losses, and our business will suffer if we fail to consistently achieve profitability in the future.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Because drug discovery and development require substantial lead-time and money prior to commercialization, our expenses have generally exceeded our revenue since we were founded in January 1989. As of December 31, 2024, we had an accumulated deficit of approximately $2.2 billion and stockholders’ equity of approximately $0.6 billion. Most of our income has historically come from collaborative arrangements, including commercial revenue from royalties and R&amp;D revenue, with additional income from research grants and the sale or licensing of our patents, as well as interest income. We will now and continuing into the foreseeable future need to invest significant financial resources to commercialize medicines on our own and expect that our income in the future will be driven primarily by commercial sales. If we do not earn substantial revenue from commercial sales, we may incur additional operating losses in the future, which could restrict our ability to successfully develop additional medicines or sustain future profitability.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may not be entitled to obtain additional milestone payments under our royalty monetization agreement with Royalty Pharma.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we entered into a Royalty Purchase Agreement with Royalty Pharma Investments. In addition to the $500 million we received at closing, this agreement makes available to us up to an additional $625 million in milestone payments. However, these additional milestone payments are subject to satisfaction of certain conditions related to the regulatory approval or commercial sales of pelacarsen, in certain cases by specific deadlines. Should we not satisfy such conditions by the applicable deadlines, or if we fail to meet our obligations or default under this agreement, the actual amount of additional payments to us could be substantially less than the maximum amounts available thereunder.</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our intellectual property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If we cannot protect our patent rights or our other proprietary rights, others may compete more effectively against us.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success depends to a significant degree upon whether we can continue to develop, secure and maintain intellectual property rights to proprietary products and services. However, we may not receive issued patents on any of our pending patent applications in the U.S. or in other countries and we may not be able to obtain, maintain or enforce our patents and other intellectual property rights, any of which could impact our ability to compete effectively. In addition, the scope of any of our issued patents may not be sufficiently broad to provide us with a competitive advantage. Furthermore, other parties may successfully challenge, invalidate or circumvent our issued patents or patents licensed to us so that our patent rights do not create an effective competitive barrier or revenue source.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cannot be certain that the U.S. Patent and Trademark Office, or U.S. PTO, and courts in the U.S. or the patent offices and courts in foreign countries will consider the claims in our patents and applications covering our commercial medicines, or any of our medicines in development, as patentable. 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even through legal action.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or any licensor partner loses or cannot obtain patent protection for our commercial medicines or any of our medicines in development, it could have a material adverse impact on our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Intellectual property litigation could be expensive and prevent us from pursuing our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have to defend our intellectual property rights. If we are involved in an intellectual property dispute, we may need to litigate to defend our rights or assert them against others. Disputes can involve arbitration, litigation or proceedings declared by the U.S. PTO or the International Trade Commission or foreign patent authorities.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a third party claims that our medicines or technology infringe its patents or other intellectual property rights, we may have to discontinue an important product or product line, alter our products and processes, pay license fees or cease certain activities. We may not be able to obtain a license to needed intellectual property on favorable terms, if at all. There are many patents issued or applied for in the biotechnology industry, and we may not be aware of patents or patent applications held by others that relate to our business. This is especially true since patent applications in the U.S. are filed confidentially for the first 18 months. Moreover, the validity and breadth of biotechnology patents involve complex legal and factual questions for which important legal issues remain.</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product liability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are exposed to potential product liability claims, and insurance against these claims may not be available to us at a reasonable rate in the future or at all.</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exposes us to potential product liability risks that are inherent in the testing, manufacturing, marketing and sale of therapeutic products, including potential product liability claims related to our commercial medicines and our medicines in development. We have clinical study insurance coverage and commercial product liability insurance coverage. However, this insurance coverage may not be adequate to cover claims against us, or be available to us at an acceptable cost, if at all. Regardless of their merit or eventual outcome, product liability claims may result in decreased demand for our medicines, injury to our reputation, withdrawal of clinical study volunteers and loss of revenues. Thus, whether or not we are insured, a product liability claim or product recall may result in losses that could be material.</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our personnel</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The loss of key personnel, or the inability to attract and retain highly skilled personnel, could make it more difficult to run our business and reduce our likelihood of success.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dependent on the principal members of our management, scientific and commercial staff. We do not have employment agreements with any of our employees that would prevent them from leaving us. The loss of our key management, scientific or commercial employees might slow the achievement of important research and development or commercial goals. It is also critical to our success that we recruit and retain qualified scientific personnel to perform research and development work and that we recruit and retain qualified marketing, sales, market access, distribution, and related personnel to commercialize our medicines. We may not be able to attract and retain skilled and experienced personnel on acceptable terms because of intense competition for experienced personnel among many pharmaceutical and health care companies, universities and non-profit research institutions. In addition, failure to succeed in clinical studies or in commercializing our medicines may make it more challenging to recruit and retain qualified personnel.</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health epidemics, climate change and other events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business may be adversely affected by health epidemics, climate change, extreme weather events, fires, earthquakes, war, civil or political unrest, terrorism or other catastrophic events.</w:t>
      </w:r>
    </w:p>
    <w:p>
      <w:pPr>
        <w:pStyle w:val="TextBody"/>
        <w:bidi w:val="0"/>
        <w:spacing w:before="0" w:after="0"/>
        <w:jc w:val="left"/>
        <w:rPr/>
      </w:pPr>
      <w:r>
        <w:rPr/>
      </w:r>
    </w:p>
    <w:p>
      <w:pPr>
        <w:pStyle w:val="TextBody"/>
        <w:bidi w:val="0"/>
        <w:spacing w:before="0" w:after="0"/>
        <w:ind w:left="0" w:right="0" w:firstLine="810"/>
        <w:jc w:val="both"/>
        <w:rPr>
          <w:rFonts w:ascii="Times New Roman;Times;serif" w:hAnsi="Times New Roman;Times;serif"/>
          <w:color w:val="000000"/>
          <w:sz w:val="20"/>
        </w:rPr>
      </w:pPr>
      <w:r>
        <w:rPr>
          <w:rFonts w:ascii="Times New Roman;Times;serif" w:hAnsi="Times New Roman;Times;serif"/>
          <w:color w:val="000000"/>
          <w:sz w:val="20"/>
        </w:rPr>
        <w:t>Our business could be adversely affected by health epidemics in regions where we or our partners are commercializing our medicines, have concentrations of clinical trial sites or other business operations, and could cause disruption in the operations of third-party manufacturers and contract research organizations upon whom we rely. For example, enrollment in some of our clinical trials was delayed due to the COVID-19 pandemic.</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recent years, extreme weather events and changing weather patterns have become more common. As a result, we are potentially exposed to varying natural disaster or extreme weather risks such as fires, hurricanes, tornadoes, droughts, floods, or other events that may result from the impact of climate change on the environment, any of which could impact our business and manufacturing operations. The potential impacts of climate change may also include increased operating costs associated with additional regulatory requirements and investments in reducing energy, water use and greenhouse gas emissions. In addition, we currently manufacture most of our research and clinical supplies in a manufacturing facility located in Carlsbad, California, and various regions within California have recently experienced numerous catastrophic wildfires. We manufacture the finished drug product for TRYNGOLZA, WAYLIVRA and eplontersen for ongoing clinical trials at third-party contract manufacturers. Biogen manufactures the finished drug product for SPINRAZA and QALSODY and AstraZeneca is responsible for WAINUA’s commercial drug supply. The facilities and the equipment we, our partners and our contract manufacturers use to research, develop and manufacture our medicines would be costly to replace and could require substantial lead time to repair or replace.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facilities or those of our partners or contract manufacturers may be harmed by natural disasters or other events outside our control, such as earthquakes, war, civil or political unrest, deliberate acts of sabotage, terrorism or industrial accidents such as fire and explosion, whether due to human or equipment error, and if such facilities are affected by a disaster or other event, our development and commercialization efforts would be delayed. Although we possess property damage and business interruption insurance coverage, this insurance may not be sufficient to cover all of our potential losses and may not continue to be available to us on acceptable terms, or at all. In addition, our development and commercialization activities could be harmed or delayed by a shutdown or significant disruption of the U.S. government, including the FDA or the U.S. PTO.</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personal information, cybersecurity, social media and artificial intelligence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are dependent on data as well as information technology systems and infrastructure, which exposes us to data protection risks.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dependent upon our own and third-party data as well as information technology systems and infrastructure, including mobile technologies, to operate our business. The personal information we process subjects us to stringent and evolving U.S. and foreign laws, rules and regulations, contractual obligations, industry standards and other obligations related to data privacy and security. Our personal information obligations require us to implement and maintain certain practices, including those in relation to cross-border transfers of personal information. The multitude and complexity of our information technology systems and infrastructure make them vulnerable to a variety of evolving threats that may result in systems or data interruption, corruption, destruction, disruption of data integrity, malicious intrusion, or random attacks or other compromise (such as due to malfunctions, software vulnerabilities, natural disasters, telecommunications failures, malicious actors and personnel error). Data privacy or security incidents or breaches pose a risk that sensitive data, including our intellectual property, trade secrets or personal information of our employees, patients, customers or other business partners may be exposed to unauthorized persons. Cyber-attacks are increasing in their frequency, sophistication and intensity, particularly as companies (including us) continue to move to more remote work structures. In addition, the number and frequency of cybersecurity events globally may be heightened during times of geopolitical tension or instability between countries, including, for example, the ongoing war between Russia and Ukraine and military conflicts in the Middle East and the surrounding areas, or collectively, conflicts in Eastern Europe and the Middle East, as well as related political or economic responses and counter-responses by various global actors.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Cybersecurity related events could include the deployment or use of harmful malware or malicious code, denial-of-service attacks, credential stuffing attacks, credential harvesting attacks, social engineering attacks (including deep fakes), ransomware and other means to affect the confidentiality, integrity or availability of our data as well as information systems and infrastructure. Our current, past and prospective business partners face similar risks and any security breaches of their systems could adversely affect our security posture. A security breach or privacy violation (including perceived breaches or violations) could result in any of the following, any of which could disrupt our business and result in increased costs or loss of revenue:</w:t>
      </w:r>
    </w:p>
    <w:p>
      <w:pPr>
        <w:pStyle w:val="TextBody"/>
        <w:bidi w:val="0"/>
        <w:spacing w:before="0" w:after="0"/>
        <w:jc w:val="left"/>
        <w:rPr/>
      </w:pPr>
      <w:r>
        <w:rPr/>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harm our reputation;</w:t>
            </w:r>
          </w:p>
        </w:tc>
      </w:tr>
    </w:tbl>
    <w:tbl>
      <w:tblPr>
        <w:tblW w:w="4533" w:type="dxa"/>
        <w:jc w:val="left"/>
        <w:tblInd w:w="0" w:type="dxa"/>
        <w:tblLayout w:type="fixed"/>
        <w:tblCellMar>
          <w:top w:w="0" w:type="dxa"/>
          <w:left w:w="0" w:type="dxa"/>
          <w:bottom w:w="0" w:type="dxa"/>
          <w:right w:w="0" w:type="dxa"/>
        </w:tblCellMar>
      </w:tblPr>
      <w:tblGrid>
        <w:gridCol w:w="38"/>
        <w:gridCol w:w="17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delay progress on the development of our medicines;</w:t>
            </w:r>
          </w:p>
        </w:tc>
      </w:tr>
    </w:tbl>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compel us to comply with applicable security or data breach notification obligations (including laws);</w:t>
            </w:r>
          </w:p>
        </w:tc>
      </w:tr>
    </w:tbl>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result in the diversion of monetary funds and other company resources;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subject us to financial or other penalties, regulatory investigations or actions, including mandatory and costly corrective actions; and</w:t>
            </w:r>
          </w:p>
        </w:tc>
      </w:tr>
    </w:tbl>
    <w:tbl>
      <w:tblPr>
        <w:tblW w:w="9303" w:type="dxa"/>
        <w:jc w:val="left"/>
        <w:tblInd w:w="0" w:type="dxa"/>
        <w:tblLayout w:type="fixed"/>
        <w:tblCellMar>
          <w:top w:w="0" w:type="dxa"/>
          <w:left w:w="0" w:type="dxa"/>
          <w:bottom w:w="0" w:type="dxa"/>
          <w:right w:w="0" w:type="dxa"/>
        </w:tblCellMar>
      </w:tblPr>
      <w:tblGrid>
        <w:gridCol w:w="38"/>
        <w:gridCol w:w="17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require us to verify the correctness of database contents and otherwise subject us to litigation or other liabilities.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Risk mitigation strategies such as liability limitations in our contracts and insurance coverage may prove inadequate if there is a security breach or privacy violation. While we have invested, and continue to invest, in the protection of our data and information technology systems and infrastructure, our efforts may not be successful. Non-compliance with relevant data protection obligations or a failure to secure our data, information technology systems or infrastructure could adversely affect our business and operations and result in the loss of critical or sensitive information, which could result in financial, legal, business or reputational harm to us.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The increasing use of social media platforms and artificial intelligence based software presents new risks and challenges.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Social media is increasingly being used to communicate about our medicines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There is also a risk of inappropriate disclosure of sensitive information or negative or inaccurate posts or comments about us on social media. We may also encounter criticism on social media regarding our company, management, or medicines.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Additionally, artificial intelligence, or AI, based software is increasingly being used in the biopharmaceutical industry. Use of AI based software may lead to the release of confidential proprietary information, which may impact our ability to realize the benefit of our intellectual property.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our securities and the global credit markets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we do not progress in our programs as anticipated, the price of our securities could decrease.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planning purposes, we estimate and may disclose the timing of a variety of clinical, regulatory and other milestones, such as when we anticipate a certain medicine will enter clinical trials, when we anticipate disclosing clinical data, when we anticipate completing a clinical study, or when we anticipate filing an application for, or obtaining, marketing authorization, or when we or our partners plan to commercially launch a medicine. We base our estimates on present facts and a variety of assumptions, many of which are outside of our control. If we do not achieve milestones in accordance with our or our investors’ or securities analysts’ expectations, including milestones related to our commercial medicines and medicines in development, the price of our securities could decrease. In addition, 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common stock could decline. Our ability to meet analysts’ forecasts, investors’ expectations and our financial guidance is substantially dependent on our ability to maintain or increase sales of our commercial medicines, both partnered and unpartnered.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If the price of our securities continues to be highly volatile, this could make it harder to liquidate your investment and could increase your risk of suffering a loss.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market price of our common stock, like that of the securities of many other biopharmaceutical companies, has been and is likely to continue to be highly volatile. These fluctuations in our common stock price may significantly affect the trading price of our securities. During the 12 months preceding December 31, 2024, the closing market price of our common stock ranged from $53.55 to $33.73 per share. Many factors can affect the market price of our securities, including, for example, fluctuations in our operating results, financing transactions, announcements of collaborations, clinical study results, technological innovations or new products being developed by us or our competitors, the commercial success of our approved medicines, governmental regulation, marketing authorizations, changes in payers’ reimbursement policies, developments in patent or other proprietary rights and public concern regarding the safety of our medicines.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Broad market factors may materially harm the market price of our common stock irrespective of our operating performance. For example, events such as the ongoing conflicts in Eastern Europe and the Middle East have caused disruptions of global financial markets and resulted in increased volatility in the trading price of our common stock. In addition, industry factors may materially harm the market price of our common stock. Nasdaq, and the market for biotechnology companies in particular, have historically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biotechnology or pharmaceutical stocks or the stocks of other companies that investors perceive to be similar to us, the opportunities in the biotechnology and pharmaceutical market or the stock market in general, could depress our stock price regardless of our business, prospects, financial conditions or results of operations.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Negative conditions in the global credit markets and financial services and other industries may adversely affect our business, financial condition or stock price.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global credit and financial markets have experienced extreme volatility and disruptions recently, including as a result of the ongoing conflicts in Eastern Europe and the Middle East. These disruptions can result in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If the current equity and credit markets deteriorate, it may make any necessary debt or equity financing more difficult, more costly and more dilutive. Failure to secure any necessary financing in a timely manner and on favorable terms could have a material adverse effect on our operations, growth plans, financial performance or stock price. In addition, our insurance carriers and insurance policies covering all aspects of our business may become financially unstable or may not be sufficient to cover any or all of our losses and may not continue to be available to us on acceptable terms, or at all.</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variety of risks associated with operating our business and marketing our medicines internationally could adversely affect our business. In addition to our U.S. operations, we are commercializing WAYLIVRA in the EU, Latin America and certain Caribbean countries. We face risks associated with our international operations, including possible unfavorable regulatory, pricing and reimbursement, political, tax and labor conditions, which could harm our business. Because we have international operations, we are subject to numerous risks associated with international business activities, including:</w:t>
      </w:r>
    </w:p>
    <w:p>
      <w:pPr>
        <w:pStyle w:val="TextBody"/>
        <w:bidi w:val="0"/>
        <w:spacing w:before="0" w:after="0"/>
        <w:jc w:val="left"/>
        <w:rPr/>
      </w:pPr>
      <w:r>
        <w:rPr/>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with differing or unexpected regulatory requirements for our medicines and foreign employees;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complexities associated with managing multiple payer reimbursement regimes, government payers or patient self-pay systems;</w:t>
            </w:r>
          </w:p>
        </w:tc>
      </w:tr>
    </w:tbl>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difficulties in staffing and managing foreign operations;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 certain circumstances, increased dependence on the commercialization efforts and regulatory compliance of third-party distributors or strategic partners;</w:t>
            </w:r>
          </w:p>
        </w:tc>
      </w:tr>
    </w:tbl>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foreign government taxes, regulations and permit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U.S. and foreign government tariffs, trade and export restrictions, price and exchange controls and other regulatory requirements;</w:t>
            </w:r>
          </w:p>
        </w:tc>
      </w:tr>
    </w:tbl>
    <w:tbl>
      <w:tblPr>
        <w:tblW w:w="10098" w:type="dxa"/>
        <w:jc w:val="left"/>
        <w:tblInd w:w="0" w:type="dxa"/>
        <w:tblLayout w:type="fixed"/>
        <w:tblCellMar>
          <w:top w:w="0" w:type="dxa"/>
          <w:left w:w="0" w:type="dxa"/>
          <w:bottom w:w="0" w:type="dxa"/>
          <w:right w:w="0" w:type="dxa"/>
        </w:tblCellMar>
      </w:tblPr>
      <w:tblGrid>
        <w:gridCol w:w="38"/>
        <w:gridCol w:w="17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anti-corruption laws, including the Foreign Corrupt Practices Act, or the FCPA, and its equivalent in foreign jurisdictions;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economic weakness, including inflation, natural disasters, war, acts of terrorism, political instability or public health issues or health epidemics, in particular foreign countries or globally;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fluctuations in currency exchange rates, which could result in increased operating expenses and reduced revenue, and other obligations related to doing business in another country;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potential for a local seller, faced with higher local prices, importing medicines from an international market with lower prices rather than buying such medicines locally, which is referred to as parallel importation;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compliance with tax, employment, privacy, immigration and labor laws, regulations and restrictions for employees living or traveling abroad;</w:t>
            </w:r>
          </w:p>
        </w:tc>
      </w:tr>
    </w:tbl>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workforce uncertainty in countries where labor unrest is more common than in the U.S.; and</w:t>
            </w:r>
          </w:p>
        </w:tc>
      </w:tr>
    </w:tbl>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changes in diplomatic and trade relationships.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business activities outside of the U.S. are subject to the FCPA and similar anti-bribery or anti-corruption laws, regulations or rules of other countries in which we operate, including the United Kingdom’s Bribery Act 2010. In many other countries, the healthcare providers who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anti-bribery laws. Importantly, we do not control the actions of manufacturers and other third-party agents, although we may be liable for their actions. Violation of these laws may result in civil or criminal sanctions, which could include monetary fines, criminal penalties, and disgorgement of past profits, which could have an adverse impact on our business and financial condition.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Provisions in our certificate of incorporation, bylaws, convertible notes documents, call spread hedge transaction documents and Delaware law may prevent stockholders from receiving a premium for their shares.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provides for classified terms for the members of our board of directors. Our certificate also includes a provision that requires at least 66 2/3 percent of our voting stockholders to approve a merger or certain other business transactions with, or proposed by, any holder of 15 percent or more of our voting stock, except in cases where certain directors approve the transaction or certain minimum price criteria and other procedural requirements are met.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certificate of incorporation also requires that any action required or permitted to be taken by our stockholders must be taken at a duly called annual or special meeting of stockholders and may not be taken by written consent. In addition, only our board of directors, chairperson of the board or chief executive officer can call special meetings of our stockholders. We have in the past, and may in the future, implement a stockholders’ rights plan, also called a poison pill, which could make it uneconomical for a third party to acquire our company on a hostile basis. In addition, our board of directors has the authority to fix the rights and preferences of, and issue shares of preferred stock, which may have the effect of delaying or preventing a change in control of our company without action by our stockholders.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provisions of our convertible senior notes could make it more difficult or more expensive for a third party to acquire us. Upon the occurrence of certain transactions constituting a fundamental change, holders of the notes will have the right, at their option, to require us to repurchase all of their notes or a portion of their notes, which may discourage certain types of transactions in which our stockholders might otherwise receive a premium for their shares over the then-current market prices.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completed a $575 million offering of 1.75% Notes and used $488.2 million of the net proceeds from the issuance of the 1.75% Notes to repurchase $504.4 million of our 0.125% Notes. In 2021, we completed a $632.5 million offering of 0% Notes and used $319.0 million of the net proceeds from the issuance of the 0% Notes to repurchase the remaining $309.9 million of our 1% Notes. In 2019, we entered into privately negotiated exchange and/or subscription agreements with certain new investors and certain holders of our existing 1% Notes to exchange $375.6 million of our 1% Notes for $439.3 million of our 0.125% Notes, and to issue $109.5 million of our 0.125% Notes. Additionally, in connection with the pricing of our 0% Notes and 0.125% Notes, we entered into call spread transactions in which we purchased note hedges and sold warrants. For our 0.125% Notes, the note hedges expired upon maturity of the 0.125% Notes and the warrants will expire in March 2025. Terminating or unwinding the call spread transactions for our 0% Notes could require us to make substantial payments to the counterparties under those agreements or may increase our stock price. The costs or any increase in stock price that may arise from terminating or unwinding such agreements could make an acquisition of our company significantly more expensive to the purchaser.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These provisions, as well as Delaware law, including Section 203 of the Delaware General Corporation Law, and other of our agreements, may discourage certain types of transactions in which our stockholders might otherwise receive a premium for their shares over then-current market prices, and may limit the ability of our stockholders to approve transactions that they think may be in their best interests.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Future sales of our common stock in the public market could adversely affect the trading price of our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Future sales of substantial amounts of our common stock in the public market, or the perception that such sales could occur, could adversely affect trading prices of our securities. For example, we may issue approximately 21.6 million shares of our common stock upon conversion of our 1.75% Notes and 0% Notes. In connection with the issuance of the 0% Notes, we entered into certain call spread transactions covering 10.9 million shares that we expect will offset the dilution to holders of common stock upon any conversion of those notes. However, the anti-dilutive effect of the convertible note hedges is offset by certain warrant transactions we entered into in connection with the issuance of the 0% Notes. The addition of any of these shares into the public market may have an adverse effect on the price of our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pursuant to the call spread transactions we entered into in connection with the pricing of our 0% Notes, the counterparties are likely to modify their hedge positions from time to time at or prior to the conversion or maturity of the notes by purchasing and selling shares of our common stock, other of our securities, or other instruments, including over-the-counter derivative instruments, that they may wish to use in connection with such hedging, which may have a negative effect on the conversion value of those notes and an adverse impact on the trading price of our common stock. The call spread transactions are expected generally to reduce potential dilution to holders of our common stock upon any conversion of our 0% Notes or offset any cash payments we are required to make in excess of the principal amount of the converted 0% Notes, as the case may be. However, the warrant transactions could separately have a dilutive effect to the extent that the market value per share of our common stock exceeds the applicable strike price of the warrants.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Risks related to compliance with laws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Our operations are subject to extensive legal and regulatory requirements affecting the health care industry.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operations are subject to extensive legal and regulatory requirements affecting the health care industry, including federal and state anti-kickback laws, false claims laws, transparency laws, such as the federal Sunshine Act, and health information privacy and security laws, which are subject to change at any time. It is possible that governmental authorities will conclude that our business practices may not comply with current or future statutes, regulations or case law involving applicable fraud and abuse or other healthcare laws and regulations. Penalties for violations of applicable healthcare laws and regulations may include significant civil, criminal and administrative penalties, damages, disgorgement, fines, imprisonment, exclusion of products from government funded healthcare programs, such as Medicare and Medicaid, and additional reporting requirements and oversight if we enter into a corporate integrity agreement or similar agreement to resolve allegations of non-compliance with these laws. In addition, violations may also result in reputational harm, diminished profits and future earnings.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Because we use biological materials, hazardous materials, chemicals and radioactive compounds, if we do not comply with laws regulating the protection of the environment and health and human safety, our business could be adversely affected.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Carlsbad, California pending ultimate use and disposal. We cannot completely eliminate the risk of contamination, which could cause:</w:t>
      </w:r>
    </w:p>
    <w:p>
      <w:pPr>
        <w:pStyle w:val="TextBody"/>
        <w:bidi w:val="0"/>
        <w:spacing w:before="0" w:after="0"/>
        <w:jc w:val="left"/>
        <w:rPr/>
      </w:pPr>
      <w:r>
        <w:rPr/>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interruption of our research, development and manufacturing efforts;</w:t>
            </w:r>
          </w:p>
        </w:tc>
      </w:tr>
    </w:tbl>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injury to our employees and others;</w:t>
            </w:r>
          </w:p>
        </w:tc>
      </w:tr>
    </w:tbl>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environmental damage resulting in costly clean up;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liabilities under federal, state and local laws and regulations governing health and human safety, as well as the use, storage, handling and disposal of these materials and resultant waste products.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such an event, we may be held liable for any resulting damages, and any liability could exceed our resources. Although we carry insurance for pollution liability in amounts and types that we consider commercially reasonable, the coverage or coverage limits of our insurance policies may not be adequate. If our losses exceed our insurance coverage, our financial condition would be adversely affected.</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business is subject to changing regulations for corporate governance and public disclosure that has increased both our costs and the risk of noncompliance.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Each year we are required to evaluate our internal control systems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SEC and other regulators have continued to adopt new rules and regulations and make additional changes to existing regulations that require our compliance. In July 2010, the Dodd-Frank Wall Street Reform and Protection Act, or the Dodd-Frank Act, was enacted, and in August 2022, the SEC adopted additional rules and regulations under the Dodd-Frank Act related to “say on pay” and proxy access. Stockholder activism, the current political environment and the current high level of government intervention and regulatory reform may lead to substantial new regulations and disclosure obligations, which has and may in the future lead to additional compliance costs and impact the manner in which we operate our business.</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Risks related to taxes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10" w:name="_Hlk189489381"/>
      <w:bookmarkEnd w:id="10"/>
      <w:r>
        <w:rPr>
          <w:rFonts w:ascii="Times New Roman;Times;serif" w:hAnsi="Times New Roman;Times;serif"/>
          <w:b/>
          <w:color w:val="000000"/>
          <w:sz w:val="20"/>
        </w:rPr>
        <w:t>Our ability to use our net operating loss carryovers and certain other tax attributes may be limited.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Internal Revenue Code of 1986, as amended, or the Code, a corporation is generally allowed a deduction for net operating losses, or NOLs, carried over from a prior taxable year. Under the Code, we can carry forward our NOLs to offset our future taxable income, if any, until such NOLs are used or expire. The same is true of other unused tax attributes, such as tax credits.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current U.S. federal income tax law, U.S. federal NOLs generated in taxable years beginning after December 31, 2017 may be carried forward indefinitely, but the deductibility of such U.S. federal NOLs is limited to 80 percent of taxable income.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under Sections 382 and 383 of the Code, and corresponding provisions of state law, if a corporation undergoes an “ownership change,” which is generally defined as a greater than 50 percentage-point cumulative change, by value, in its equity ownership over a three-year period, the corporation’s ability to use its pre-change NOL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NOL carryforwards or other tax attributes is materially limited, it would harm our future operating results by effectively increasing our future tax obligations. As a result of our merger with Akcea Therapeutics, Inc. in 2020, or the Akcea Merger, we are subject to the separate return limitation year, or SRLY, rules. Under the SRLY rules, our utilization of Akcea’s pre-merger NOL and tax credit carryforwards is limited to the amount of income that Akcea contributes to our consolidated taxable income. The Akcea pre-merger tax attributes cannot be used to offset any of the income that Ionis contributes to our consolidated taxable income. In addition, at the state level, there may be periods during which the use of NOLs is suspended or otherwise limited, which could accelerate or permanently increase state taxes owed. For example, in June 2024, California enacted Senate Bill 167, or SB 167, which, with certain exceptions, suspends the ability to use California net operating losses to offset California income and limits the ability to use California business tax credits to offset California taxes, for taxable years beginning after 2023 and before 2027.</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Our future taxable income could be impacted by changes in tax laws, regulations and treaties.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 change in tax laws, treaties or regulations, or their interpretation, of any country in which we operate could materially affect us.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We could be subject to additional tax liabilities.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subject to U.S. federal, state, local and foreign income taxes, sales taxes in the U.S., withholding taxes and transaction taxes 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In particular, our tax obligations and effective tax rate in the jurisdictions in which we conduct business could increase in the future as a result of the base erosion and profit shifting, or BEPS,  project led by the Organization for Economic Co-operation and Development, or OECD, and other initiatives led by the OECD or the European Commission. The OECD is leading work on an iteration of the BEPS project based on two “pillars” (subject to certain revenue thresholds), involving the reallocation of taxing rights in respect of certain multinational enterprises above a fixed profit margin to the jurisdictions in which they carry on business) (referred to as “Pillar One”) and imposing a minimum effective corporate tax rate on certain multinational enterprises (referred to as “Pillar Two”). Based on the minimum revenue thresholds we do not expect to fall within the scope of these requirements in the near term.</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be audited in various jurisdictions, and such jurisdictions may assess additional income, sales and value-added or other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1" w:name="Item1B"/>
      <w:bookmarkEnd w:id="11"/>
      <w:r>
        <w:rPr>
          <w:rFonts w:ascii="Times New Roman;Times;serif" w:hAnsi="Times New Roman;Times;serif"/>
          <w:b/>
          <w:color w:val="000000"/>
          <w:sz w:val="20"/>
        </w:rPr>
        <w:t>Item 1B. Unresolved Staff Comments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12" w:name="Item1C"/>
      <w:bookmarkEnd w:id="12"/>
      <w:r>
        <w:rPr>
          <w:rFonts w:ascii="Times New Roman;Times;serif" w:hAnsi="Times New Roman;Times;serif"/>
          <w:b/>
          <w:color w:val="000000"/>
          <w:sz w:val="20"/>
        </w:rPr>
        <w:t>Item 1C. Cybersecurity</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Risk management and strategy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implemented and maintain various information security processes designed to detect, respond to, recover, and protect our technology ecosystem from cybersecurity threats. These processes are designed to identify, assess, and manage material risks that may result from cybersecurity threats and apply to our critical technologies inclusive of networks, third party hosted services, communications systems, hardware, software, and critical data, including intellectual property and confidential information that is proprietary, strategic, or competitive in nature.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Information Technology department, led by our Senior Vice President, Information Technology, helps to detect, respond to, and manage cybersecurity threats and risks by monitoring and evaluating our threat environment using various manual and automated tools in certain environments and systems and other methods including, for example:</w:t>
      </w:r>
    </w:p>
    <w:p>
      <w:pPr>
        <w:pStyle w:val="TextBody"/>
        <w:bidi w:val="0"/>
        <w:spacing w:before="0" w:after="0"/>
        <w:jc w:val="left"/>
        <w:rPr/>
      </w:pPr>
      <w:r>
        <w:rPr/>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analyzing reports of certain threats and actors;</w:t>
            </w:r>
          </w:p>
        </w:tc>
      </w:tr>
    </w:tbl>
    <w:tbl>
      <w:tblPr>
        <w:tblW w:w="3813" w:type="dxa"/>
        <w:jc w:val="left"/>
        <w:tblInd w:w="0" w:type="dxa"/>
        <w:tblLayout w:type="fixed"/>
        <w:tblCellMar>
          <w:top w:w="0" w:type="dxa"/>
          <w:left w:w="0" w:type="dxa"/>
          <w:bottom w:w="0" w:type="dxa"/>
          <w:right w:w="0" w:type="dxa"/>
        </w:tblCellMar>
      </w:tblPr>
      <w:tblGrid>
        <w:gridCol w:w="38"/>
        <w:gridCol w:w="17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scans of the threat environment;</w:t>
            </w:r>
          </w:p>
        </w:tc>
      </w:tr>
    </w:tbl>
    <w:tbl>
      <w:tblPr>
        <w:tblW w:w="3933" w:type="dxa"/>
        <w:jc w:val="left"/>
        <w:tblInd w:w="0" w:type="dxa"/>
        <w:tblLayout w:type="fixed"/>
        <w:tblCellMar>
          <w:top w:w="0" w:type="dxa"/>
          <w:left w:w="0" w:type="dxa"/>
          <w:bottom w:w="0" w:type="dxa"/>
          <w:right w:w="0" w:type="dxa"/>
        </w:tblCellMar>
      </w:tblPr>
      <w:tblGrid>
        <w:gridCol w:w="38"/>
        <w:gridCol w:w="17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evaluating our and our industry’s risk profile;</w:t>
            </w:r>
          </w:p>
        </w:tc>
      </w:tr>
    </w:tbl>
    <w:tbl>
      <w:tblPr>
        <w:tblW w:w="3513" w:type="dxa"/>
        <w:jc w:val="left"/>
        <w:tblInd w:w="0" w:type="dxa"/>
        <w:tblLayout w:type="fixed"/>
        <w:tblCellMar>
          <w:top w:w="0" w:type="dxa"/>
          <w:left w:w="0" w:type="dxa"/>
          <w:bottom w:w="0" w:type="dxa"/>
          <w:right w:w="0" w:type="dxa"/>
        </w:tblCellMar>
      </w:tblPr>
      <w:tblGrid>
        <w:gridCol w:w="38"/>
        <w:gridCol w:w="170"/>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evaluating certain threats reported to us;</w:t>
            </w:r>
          </w:p>
        </w:tc>
      </w:tr>
    </w:tbl>
    <w:tbl>
      <w:tblPr>
        <w:tblW w:w="3498" w:type="dxa"/>
        <w:jc w:val="left"/>
        <w:tblInd w:w="0" w:type="dxa"/>
        <w:tblLayout w:type="fixed"/>
        <w:tblCellMar>
          <w:top w:w="0" w:type="dxa"/>
          <w:left w:w="0" w:type="dxa"/>
          <w:bottom w:w="0" w:type="dxa"/>
          <w:right w:w="0" w:type="dxa"/>
        </w:tblCellMar>
      </w:tblPr>
      <w:tblGrid>
        <w:gridCol w:w="38"/>
        <w:gridCol w:w="17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internal and external audits;</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threat assessments for certain internal and external threats; and</w:t>
            </w:r>
          </w:p>
        </w:tc>
      </w:tr>
    </w:tbl>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conducting vulnerability assessments designed to identify vulnerabilities.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Depending on the environment, system and data, we have implemented and maintain various technical, physical, and organizational measures, processes, standards, and policies designed to manage and mitigate material risks from cybersecurity threats to our critical technologies and data, including, for example:</w:t>
      </w:r>
    </w:p>
    <w:p>
      <w:pPr>
        <w:pStyle w:val="TextBody"/>
        <w:bidi w:val="0"/>
        <w:spacing w:before="0" w:after="0"/>
        <w:jc w:val="left"/>
        <w:rPr/>
      </w:pPr>
      <w:r>
        <w:rPr/>
      </w:r>
    </w:p>
    <w:tbl>
      <w:tblPr>
        <w:tblW w:w="2133" w:type="dxa"/>
        <w:jc w:val="left"/>
        <w:tblInd w:w="0" w:type="dxa"/>
        <w:tblLayout w:type="fixed"/>
        <w:tblCellMar>
          <w:top w:w="0" w:type="dxa"/>
          <w:left w:w="0" w:type="dxa"/>
          <w:bottom w:w="0" w:type="dxa"/>
          <w:right w:w="0" w:type="dxa"/>
        </w:tblCellMar>
      </w:tblPr>
      <w:tblGrid>
        <w:gridCol w:w="38"/>
        <w:gridCol w:w="170"/>
        <w:gridCol w:w="1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incident response plan;</w:t>
            </w:r>
          </w:p>
        </w:tc>
      </w:tr>
    </w:tbl>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disaster recovery/business continuity plans;</w:t>
            </w:r>
          </w:p>
        </w:tc>
      </w:tr>
    </w:tbl>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risk assessments;</w:t>
            </w:r>
          </w:p>
        </w:tc>
      </w:tr>
    </w:tbl>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encryption of certain data;</w:t>
            </w:r>
          </w:p>
        </w:tc>
      </w:tr>
    </w:tbl>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network security and access controls for certain systems;</w:t>
            </w:r>
          </w:p>
        </w:tc>
      </w:tr>
    </w:tbl>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physical security;</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asset management, tracking and disposal;</w:t>
            </w:r>
          </w:p>
        </w:tc>
      </w:tr>
    </w:tbl>
    <w:tbl>
      <w:tblPr>
        <w:tblW w:w="2238" w:type="dxa"/>
        <w:jc w:val="left"/>
        <w:tblInd w:w="0" w:type="dxa"/>
        <w:tblLayout w:type="fixed"/>
        <w:tblCellMar>
          <w:top w:w="0" w:type="dxa"/>
          <w:left w:w="0" w:type="dxa"/>
          <w:bottom w:w="0" w:type="dxa"/>
          <w:right w:w="0" w:type="dxa"/>
        </w:tblCellMar>
      </w:tblPr>
      <w:tblGrid>
        <w:gridCol w:w="38"/>
        <w:gridCol w:w="170"/>
        <w:gridCol w:w="2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systems monitoring; and</w:t>
            </w:r>
          </w:p>
        </w:tc>
      </w:tr>
    </w:tbl>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training.</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Our assessment and management of material risks from cybersecurity threats are integrated into the Company’s overall risk management processes. For example, cybersecurity risk is assessed as a component of our enterprise risk management program. In addition, we have developed a process whereby our senior management evaluates material risks from cybersecurity threats against our overall business objectives and reports certain cybersecurity incidents to the Audit Committee of the Board of Directors, which evaluates our overall enterprise risk.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third-party providers to perform various functions throughout our business, such as application providers and hosting companies. We use third-party providers to assist us from time to time in an effort to identify, assess, and manage material risks from cybersecurity threats, including, for example, legal counsel, cybersecurity consultants, cybersecurity software providers, penetration testing firms, and forensic investigators. The Company maintains a risk-based approach and process designed to identify and oversee cybersecurity risks presented by third parties, including vendors, service providers and other external users of the Company’s systems, as well as the systems of third parties that could materially impact our business if there is a cybersecurity incident affecting those third-party systems.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For an additional description of the risks from cybersecurity threats that may materially affect us and how they may do so, see our risk factors under Item 1A, </w:t>
      </w:r>
      <w:r>
        <w:rPr>
          <w:rFonts w:ascii="Times New Roman;Times;serif" w:hAnsi="Times New Roman;Times;serif"/>
          <w:i/>
          <w:color w:val="000000"/>
          <w:sz w:val="20"/>
        </w:rPr>
        <w:t>Risk Factors</w:t>
      </w:r>
      <w:r>
        <w:rPr>
          <w:rFonts w:ascii="Times New Roman;Times;serif" w:hAnsi="Times New Roman;Times;serif"/>
          <w:color w:val="000000"/>
          <w:sz w:val="20"/>
        </w:rPr>
        <w:t>, in this Annual Report on Form 10-K, including the risk factor titled “</w:t>
      </w:r>
      <w:r>
        <w:rPr>
          <w:rFonts w:ascii="Times New Roman;Times;serif" w:hAnsi="Times New Roman;Times;serif"/>
          <w:i/>
          <w:color w:val="000000"/>
          <w:sz w:val="20"/>
        </w:rPr>
        <w:t>We are dependent on data as well as information technology systems and infrastructure, which exposes us to data protection risks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Governance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 The Audit Committee also oversees our internal audit department and management’s internal controls over financial reporting, including with respect to cybersecurity.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Our cybersecurity risk assessment and management processes are implemented and maintained by our Senior Vice President, Information Technology, who holds an undergraduate degree in Computer Engineering and has served in information technology and security roles dedicated to the pharmaceutical and biotechnology sector for approximately 18 years, including serving as the Chief Information Officer of two public biopharmaceutical companies.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Senior Vice President, Information Technology is responsible for hiring appropriate personnel, helping to integrate cybersecurity risk considerations into our overall risk management strategy, communicating key priorities to relevant personnel, helping prepare for cybersecurity incidents, approving cybersecurity processes, and reviewing security assessments and other security-related reports.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Our cybersecurity incident response plan is designed to escalate certain cybersecurity incidents, depending on the circumstances, to our senior management team and Audit Committee of the Board of Directors. The Audit Committee of the Board of Directors receives reports from our Senior Vice President, Information Technology concerning our significant cybersecurity threats and risks (including certain cybersecurity threats) and the processes we have implemented that are designed to address them. </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bookmarkStart w:id="13" w:name="Item2"/>
      <w:bookmarkEnd w:id="13"/>
      <w:r>
        <w:rPr>
          <w:rFonts w:ascii="Times New Roman;Times;serif" w:hAnsi="Times New Roman;Times;serif"/>
          <w:b/>
          <w:color w:val="000000"/>
          <w:sz w:val="20"/>
        </w:rPr>
        <w:t>Item 2. Properties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February 13, 2025, the following are the primary facilities in which we operate:</w:t>
      </w:r>
    </w:p>
    <w:p>
      <w:pPr>
        <w:pStyle w:val="TextBody"/>
        <w:bidi w:val="0"/>
        <w:spacing w:before="0" w:after="0"/>
        <w:jc w:val="left"/>
        <w:rPr/>
      </w:pPr>
      <w:r>
        <w:rPr/>
      </w:r>
    </w:p>
    <w:tbl>
      <w:tblPr>
        <w:tblW w:w="10035" w:type="dxa"/>
        <w:jc w:val="left"/>
        <w:tblInd w:w="0" w:type="dxa"/>
        <w:tblLayout w:type="fixed"/>
        <w:tblCellMar>
          <w:top w:w="0" w:type="dxa"/>
          <w:left w:w="0" w:type="dxa"/>
          <w:bottom w:w="28" w:type="dxa"/>
          <w:right w:w="0" w:type="dxa"/>
        </w:tblCellMar>
      </w:tblPr>
      <w:tblGrid>
        <w:gridCol w:w="2915"/>
        <w:gridCol w:w="60"/>
        <w:gridCol w:w="1250"/>
        <w:gridCol w:w="60"/>
        <w:gridCol w:w="710"/>
        <w:gridCol w:w="60"/>
        <w:gridCol w:w="860"/>
        <w:gridCol w:w="60"/>
        <w:gridCol w:w="1325"/>
        <w:gridCol w:w="60"/>
        <w:gridCol w:w="2675"/>
      </w:tblGrid>
      <w:tr>
        <w:trPr/>
        <w:tc>
          <w:tcPr>
            <w:tcW w:w="291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Property Description</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Square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Footage</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Owned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or Leased</w:t>
            </w:r>
          </w:p>
        </w:tc>
        <w:tc>
          <w:tcPr>
            <w:tcW w:w="60" w:type="dxa"/>
            <w:tcBorders/>
            <w:tcMar>
              <w:bottom w:w="0" w:type="dxa"/>
            </w:tcMar>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Initial Lease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Term End Date</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Lease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Extension Options</w:t>
            </w:r>
          </w:p>
        </w:tc>
      </w:tr>
      <w:tr>
        <w:trPr/>
        <w:tc>
          <w:tcPr>
            <w:tcW w:w="2915" w:type="dxa"/>
            <w:tcBorders>
              <w:top w:val="single" w:sz="12" w:space="0" w:color="000000"/>
            </w:tcBorders>
            <w:shd w:fill="CCEEFF" w:val="clear"/>
            <w:tcMar>
              <w:top w:w="28" w:type="dxa"/>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Laboratory and office space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top w:val="single" w:sz="12" w:space="0" w:color="000000"/>
            </w:tcBorders>
            <w:shd w:fill="CCEEFF" w:val="clear"/>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top w:val="single" w:sz="12" w:space="0" w:color="000000"/>
            </w:tcBorders>
            <w:shd w:fill="CCEEFF" w:val="clear"/>
            <w:tcMar>
              <w:top w:w="28" w:type="dxa"/>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Two, five-year options to extend</w:t>
            </w:r>
          </w:p>
        </w:tc>
      </w:tr>
      <w:tr>
        <w:trPr/>
        <w:tc>
          <w:tcPr>
            <w:tcW w:w="2915"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Office and meeting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Two, five-year options to extend</w:t>
            </w:r>
          </w:p>
        </w:tc>
      </w:tr>
      <w:tr>
        <w:trPr/>
        <w:tc>
          <w:tcPr>
            <w:tcW w:w="2915" w:type="dxa"/>
            <w:tcBorders/>
            <w:shd w:fill="CCEE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Manufacturing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left"/>
              <w:rPr/>
            </w:pPr>
            <w:r>
              <w:rPr/>
              <w:t> </w:t>
            </w:r>
          </w:p>
        </w:tc>
      </w:tr>
      <w:tr>
        <w:trPr/>
        <w:tc>
          <w:tcPr>
            <w:tcW w:w="2915"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Manufacturing support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One, five-year option to extend</w:t>
            </w:r>
          </w:p>
        </w:tc>
      </w:tr>
      <w:tr>
        <w:trPr/>
        <w:tc>
          <w:tcPr>
            <w:tcW w:w="29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Boston, 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One, five-year option to extend</w:t>
            </w:r>
          </w:p>
        </w:tc>
      </w:tr>
      <w:tr>
        <w:trPr/>
        <w:tc>
          <w:tcPr>
            <w:tcW w:w="29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Warehouse facility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Carlsbad,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Office space facility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Dublin, Ireland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None</w:t>
            </w:r>
          </w:p>
        </w:tc>
      </w:tr>
      <w:tr>
        <w:trPr/>
        <w:tc>
          <w:tcPr>
            <w:tcW w:w="2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0" w:type="dxa"/>
            <w:tcBorders>
              <w:top w:val="single" w:sz="12" w:space="0" w:color="000000"/>
              <w:bottom w:val="double" w:sz="8"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331,100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our current and future facilities will be adequate for the foreseeable future. Refer to Part IV, Section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details on real estate transactions.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4" w:name="Item3"/>
      <w:bookmarkEnd w:id="14"/>
      <w:r>
        <w:rPr>
          <w:rFonts w:ascii="Times New Roman;Times;serif" w:hAnsi="Times New Roman;Times;serif"/>
          <w:b/>
          <w:color w:val="000000"/>
          <w:sz w:val="20"/>
        </w:rPr>
        <w:t>Item 3. Legal Proceedings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For details of legal proceedings, refer to Part IV, Item 15, Note 11, </w:t>
      </w:r>
      <w:r>
        <w:rPr>
          <w:rFonts w:ascii="Times New Roman;Times;serif" w:hAnsi="Times New Roman;Times;serif"/>
          <w:i/>
          <w:color w:val="000000"/>
          <w:sz w:val="20"/>
        </w:rPr>
        <w:t>Legal Proceedings,</w:t>
      </w:r>
      <w:r>
        <w:rPr>
          <w:rFonts w:ascii="Times New Roman;Times;serif" w:hAnsi="Times New Roman;Times;serif"/>
          <w:color w:val="000000"/>
          <w:sz w:val="20"/>
        </w:rPr>
        <w:t xml:space="preserve"> in the Notes to the Consolidated Financial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15" w:name="Item4"/>
      <w:bookmarkEnd w:id="15"/>
      <w:r>
        <w:rPr>
          <w:rFonts w:ascii="Times New Roman;Times;serif" w:hAnsi="Times New Roman;Times;serif"/>
          <w:b/>
          <w:color w:val="000000"/>
          <w:sz w:val="20"/>
        </w:rPr>
        <w:t>Item 4. Mine Safety Disclosures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16" w:name="PARTII"/>
      <w:bookmarkEnd w:id="16"/>
      <w:r>
        <w:rPr>
          <w:rFonts w:ascii="Times New Roman;Times;serif" w:hAnsi="Times New Roman;Times;serif"/>
          <w:b/>
          <w:color w:val="000000"/>
          <w:sz w:val="20"/>
        </w:rPr>
        <w:t>PART II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bookmarkStart w:id="17" w:name="Item5"/>
      <w:bookmarkEnd w:id="17"/>
      <w:r>
        <w:rPr>
          <w:rFonts w:ascii="Times New Roman;Times;serif" w:hAnsi="Times New Roman;Times;serif"/>
          <w:b/>
          <w:color w:val="000000"/>
          <w:sz w:val="20"/>
        </w:rPr>
        <w:t>Item 5. Market for Registrant</w:t>
      </w:r>
      <w:r>
        <w:rPr>
          <w:rFonts w:ascii="Times New Roman;Times;serif" w:hAnsi="Times New Roman;Times;serif"/>
          <w:color w:val="000000"/>
          <w:sz w:val="20"/>
        </w:rPr>
        <w:t>’</w:t>
      </w:r>
      <w:r>
        <w:rPr>
          <w:rFonts w:ascii="Times New Roman;Times;serif" w:hAnsi="Times New Roman;Times;serif"/>
          <w:b/>
          <w:color w:val="000000"/>
          <w:sz w:val="20"/>
        </w:rPr>
        <w:t>s Common Equity, Related Stockholder Matters and Issuer Purchases of Equity Securities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Market Information and Dividends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common stock is traded publicly through The Nasdaq Global Select Market under the symbol “IONS.” As of February 13, 2025, there were approximately 447 stockholders of record of our common stock. Because many of our shares are held by brokers and other institutions on behalf of stockholders, we are unable to estimate the total number of stockholders represented by these record holders.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never paid dividends and do not anticipate paying any dividends in the foreseeable future.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Performance Graph (1)</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Set forth below is a table and chart comparing the total return on an indexed basis of $100 invested on December 31, 2019 in our common stock, the Nasdaq Composite Index (total return) and the Nasdaq Biotechnology Index. The total return assumes reinvestment of dividends.</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734175" cy="5591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734175" cy="5591175"/>
                    </a:xfrm>
                    <a:prstGeom prst="rect">
                      <a:avLst/>
                    </a:prstGeom>
                  </pic:spPr>
                </pic:pic>
              </a:graphicData>
            </a:graphic>
          </wp:inline>
        </w:drawing>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$100 invested on December 31, 2019 in stock or index, including reinvestment of dividends. Fiscal year ending December 31.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COMPARISON OF 5 YEAR CUMULATIVE TOTAL RETURN</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Among Ionis Pharmaceuticals, Inc., the Nasdaq Composite Index,</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and the Nasdaq Biotechnology Index</w:t>
      </w:r>
    </w:p>
    <w:p>
      <w:pPr>
        <w:pStyle w:val="TextBody"/>
        <w:bidi w:val="0"/>
        <w:spacing w:before="0" w:after="0"/>
        <w:jc w:val="center"/>
        <w:rPr/>
      </w:pPr>
      <w:r>
        <w:rPr/>
      </w:r>
    </w:p>
    <w:tbl>
      <w:tblPr>
        <w:tblW w:w="7445" w:type="dxa"/>
        <w:jc w:val="left"/>
        <w:tblInd w:w="0" w:type="dxa"/>
        <w:tblLayout w:type="fixed"/>
        <w:tblCellMar>
          <w:top w:w="0" w:type="dxa"/>
          <w:left w:w="0" w:type="dxa"/>
          <w:bottom w:w="0" w:type="dxa"/>
          <w:right w:w="0" w:type="dxa"/>
        </w:tblCellMar>
      </w:tblPr>
      <w:tblGrid>
        <w:gridCol w:w="242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60"/>
        <w:gridCol w:w="60"/>
        <w:gridCol w:w="125"/>
        <w:gridCol w:w="590"/>
        <w:gridCol w:w="75"/>
      </w:tblGrid>
      <w:tr>
        <w:trPr/>
        <w:tc>
          <w:tcPr>
            <w:tcW w:w="24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Dec-24</w:t>
            </w:r>
          </w:p>
        </w:tc>
        <w:tc>
          <w:tcPr>
            <w:tcW w:w="75" w:type="dxa"/>
            <w:tcBorders/>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Ionis Pharmaceuticals, Inc.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57.87</w:t>
            </w:r>
          </w:p>
        </w:tc>
        <w:tc>
          <w:tcPr>
            <w:tcW w:w="75" w:type="dxa"/>
            <w:tcBorders/>
            <w:shd w:fill="CCEEFF" w:val="clear"/>
            <w:vAlign w:val="bottom"/>
          </w:tcPr>
          <w:p>
            <w:pPr>
              <w:pStyle w:val="TableContents"/>
              <w:bidi w:val="0"/>
              <w:spacing w:before="0" w:after="283"/>
              <w:jc w:val="left"/>
              <w:rPr/>
            </w:pPr>
            <w:r>
              <w:rPr/>
              <w:t> </w:t>
            </w:r>
          </w:p>
        </w:tc>
      </w:tr>
      <w:tr>
        <w:trPr/>
        <w:tc>
          <w:tcPr>
            <w:tcW w:w="2420" w:type="dxa"/>
            <w:tcBorders/>
            <w:shd w:fill="FFFF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Nasdaq Composite Index</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144.92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177.06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119.45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172.77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223.87</w:t>
            </w:r>
          </w:p>
        </w:tc>
        <w:tc>
          <w:tcPr>
            <w:tcW w:w="75" w:type="dxa"/>
            <w:tcBorders/>
            <w:shd w:fill="FFFFFF" w:val="clear"/>
            <w:vAlign w:val="bottom"/>
          </w:tcPr>
          <w:p>
            <w:pPr>
              <w:pStyle w:val="TableContents"/>
              <w:bidi w:val="0"/>
              <w:spacing w:before="0" w:after="283"/>
              <w:jc w:val="left"/>
              <w:rPr/>
            </w:pPr>
            <w:r>
              <w:rPr/>
              <w:t> </w:t>
            </w:r>
          </w:p>
        </w:tc>
      </w:tr>
      <w:tr>
        <w:trPr/>
        <w:tc>
          <w:tcPr>
            <w:tcW w:w="2420"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Nasdaq Biotechnology Index</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118.20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section is not “soliciting material,” is not deemed “filed” with the SEC, is not subject to the liabilities of Section 18 of the Exchange Act and is not to be incorporated by reference in any of our filings under the Securities Act or the Exchange Act, whether made before or after the date hereof and irrespective of any general incorporation language in any such filing.</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6</w:t>
      </w:r>
      <w:bookmarkStart w:id="18" w:name="Item6"/>
      <w:bookmarkEnd w:id="18"/>
      <w:r>
        <w:rPr>
          <w:rFonts w:ascii="Times New Roman;Times;serif" w:hAnsi="Times New Roman;Times;serif"/>
          <w:b/>
          <w:color w:val="000000"/>
          <w:sz w:val="20"/>
        </w:rPr>
        <w:t>. Reserved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bookmarkStart w:id="19" w:name="Item7"/>
      <w:bookmarkEnd w:id="19"/>
      <w:r>
        <w:rPr>
          <w:rFonts w:ascii="Times New Roman;Times;serif" w:hAnsi="Times New Roman;Times;serif"/>
          <w:b/>
          <w:color w:val="000000"/>
          <w:sz w:val="20"/>
        </w:rPr>
        <w:t>Item 7. Management</w:t>
      </w:r>
      <w:r>
        <w:rPr>
          <w:rFonts w:ascii="Times New Roman;Times;serif" w:hAnsi="Times New Roman;Times;serif"/>
          <w:color w:val="000000"/>
          <w:sz w:val="20"/>
        </w:rPr>
        <w:t>’</w:t>
      </w:r>
      <w:r>
        <w:rPr>
          <w:rFonts w:ascii="Times New Roman;Times;serif" w:hAnsi="Times New Roman;Times;serif"/>
          <w:b/>
          <w:color w:val="000000"/>
          <w:sz w:val="20"/>
        </w:rPr>
        <w:t>s Discussion and Analysis of Financial Condition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This financial review presents our operating results for each of the two years in the period ended December 31, 2024, and our financial condition as of December 31, 2024. Refer to Part II, Item 7, </w:t>
      </w:r>
      <w:r>
        <w:rPr>
          <w:rFonts w:ascii="Times New Roman;Times;serif" w:hAnsi="Times New Roman;Times;serif"/>
          <w:i/>
          <w:color w:val="000000"/>
          <w:sz w:val="20"/>
        </w:rPr>
        <w:t>Management’s Discussion and Analysis of Financial Condition and Results of Operations</w:t>
      </w:r>
      <w:r>
        <w:rPr>
          <w:rFonts w:ascii="Times New Roman;Times;serif" w:hAnsi="Times New Roman;Times;serif"/>
          <w:color w:val="000000"/>
          <w:sz w:val="20"/>
        </w:rPr>
        <w:t xml:space="preserve">, in our 2023 Form 10-K for our results of operations for 2023 compared to 2022. 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report and specifically under Part I, Item 1A, </w:t>
      </w:r>
      <w:r>
        <w:rPr>
          <w:rFonts w:ascii="Times New Roman;Times;serif" w:hAnsi="Times New Roman;Times;serif"/>
          <w:i/>
          <w:color w:val="000000"/>
          <w:sz w:val="20"/>
        </w:rPr>
        <w:t>Risk Factors</w:t>
      </w:r>
      <w:r>
        <w:rPr>
          <w:rFonts w:ascii="Times New Roman;Times;serif" w:hAnsi="Times New Roman;Times;serif"/>
          <w:color w:val="000000"/>
          <w:sz w:val="20"/>
        </w:rPr>
        <w:t xml:space="preserve">. In addition, the following review should be read in conjunction with the information presented in our consolidated financial statements and the related notes to our consolidated financial statements included in Part II, Item 8, </w:t>
      </w:r>
      <w:r>
        <w:rPr>
          <w:rFonts w:ascii="Times New Roman;Times;serif" w:hAnsi="Times New Roman;Times;serif"/>
          <w:i/>
          <w:color w:val="000000"/>
          <w:sz w:val="20"/>
        </w:rPr>
        <w:t>Financial Statements and Supplementary Data</w:t>
      </w:r>
      <w:r>
        <w:rPr>
          <w:rFonts w:ascii="Times New Roman;Times;serif" w:hAnsi="Times New Roman;Times;serif"/>
          <w:color w:val="000000"/>
          <w:sz w:val="20"/>
        </w:rPr>
        <w:t>, of this report.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Overview</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noted in our Business Overview in Part I, Item 1, </w:t>
      </w:r>
      <w:r>
        <w:rPr>
          <w:rFonts w:ascii="Times New Roman;Times;serif" w:hAnsi="Times New Roman;Times;serif"/>
          <w:i/>
          <w:color w:val="000000"/>
          <w:sz w:val="20"/>
        </w:rPr>
        <w:t>Business</w:t>
      </w:r>
      <w:r>
        <w:rPr>
          <w:rFonts w:ascii="Times New Roman;Times;serif" w:hAnsi="Times New Roman;Times;serif"/>
          <w:color w:val="000000"/>
          <w:sz w:val="20"/>
        </w:rPr>
        <w:t xml:space="preserve">, for three decades, we have invented medicines that we believe bring better futures to people with serious diseases. Today, as a pioneer in RNA-targeted medicines, we continue to drive innovation in RNA therapies. We currently have six marketed medicines: TRYNGOLZA, WAINUA, SPINRAZA, QALSODY, TEGSEDI and WAYLIVRA. We also have a rich innovative late- and mid-stage pipeline in neurology, cardiology and rare diseases. We currently have nine medicines in Phase 3 development and additional medicines in early and mid-stage development. Refer to Part I, Item 1, </w:t>
      </w:r>
      <w:r>
        <w:rPr>
          <w:rFonts w:ascii="Times New Roman;Times;serif" w:hAnsi="Times New Roman;Times;serif"/>
          <w:i/>
          <w:color w:val="000000"/>
          <w:sz w:val="20"/>
        </w:rPr>
        <w:t>Business</w:t>
      </w:r>
      <w:r>
        <w:rPr>
          <w:rFonts w:ascii="Times New Roman;Times;serif" w:hAnsi="Times New Roman;Times;serif"/>
          <w:color w:val="000000"/>
          <w:sz w:val="20"/>
        </w:rPr>
        <w:t>, for further details on our business and key developments in our medicines.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Below we have included our results of operations for 2024 compared to 2023. Refer to Part II, Item 7, </w:t>
      </w:r>
      <w:r>
        <w:rPr>
          <w:rFonts w:ascii="Times New Roman;Times;serif" w:hAnsi="Times New Roman;Times;serif"/>
          <w:i/>
          <w:color w:val="000000"/>
          <w:sz w:val="20"/>
        </w:rPr>
        <w:t>Management’s Discussion and Analysis of Financial Condition and Results of Operations,</w:t>
      </w:r>
      <w:r>
        <w:rPr>
          <w:rFonts w:ascii="Times New Roman;Times;serif" w:hAnsi="Times New Roman;Times;serif"/>
          <w:color w:val="000000"/>
          <w:sz w:val="20"/>
        </w:rPr>
        <w:t xml:space="preserve"> of our 2023 Form 10-K for our results of operations for 2023 compared to 2022. The following table provides selected summary information from our consolidated statements of operations for 2024 and 2023 (in millions):</w:t>
      </w:r>
    </w:p>
    <w:p>
      <w:pPr>
        <w:pStyle w:val="TextBody"/>
        <w:bidi w:val="0"/>
        <w:spacing w:before="0" w:after="0"/>
        <w:jc w:val="left"/>
        <w:rPr/>
      </w:pPr>
      <w:r>
        <w:rPr/>
      </w:r>
    </w:p>
    <w:tbl>
      <w:tblPr>
        <w:tblW w:w="6493" w:type="dxa"/>
        <w:jc w:val="left"/>
        <w:tblInd w:w="0" w:type="dxa"/>
        <w:tblLayout w:type="fixed"/>
        <w:tblCellMar>
          <w:top w:w="0" w:type="dxa"/>
          <w:left w:w="0" w:type="dxa"/>
          <w:bottom w:w="0" w:type="dxa"/>
          <w:right w:w="0" w:type="dxa"/>
        </w:tblCellMar>
      </w:tblPr>
      <w:tblGrid>
        <w:gridCol w:w="4115"/>
        <w:gridCol w:w="60"/>
        <w:gridCol w:w="167"/>
        <w:gridCol w:w="851"/>
        <w:gridCol w:w="107"/>
        <w:gridCol w:w="80"/>
        <w:gridCol w:w="167"/>
        <w:gridCol w:w="851"/>
        <w:gridCol w:w="95"/>
      </w:tblGrid>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705.1</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82" w:right="0" w:hanging="182"/>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1,180.2</w:t>
            </w:r>
          </w:p>
        </w:tc>
        <w:tc>
          <w:tcPr>
            <w:tcW w:w="10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1,141.4</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2" w:right="0" w:hanging="182"/>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(475.1</w:t>
            </w:r>
          </w:p>
        </w:tc>
        <w:tc>
          <w:tcPr>
            <w:tcW w:w="1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(353.7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(453.9</w:t>
            </w:r>
          </w:p>
        </w:tc>
        <w:tc>
          <w:tcPr>
            <w:tcW w:w="10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(366.3</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Cash, cash equivalents and short-term investments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2,297.7</w:t>
            </w:r>
          </w:p>
        </w:tc>
        <w:tc>
          <w:tcPr>
            <w:tcW w:w="10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2,331.2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Total revenue for 2024 was $705.1 million compared to $787.6 million in 2023 and was comprised of the following (in millions):</w:t>
      </w:r>
    </w:p>
    <w:p>
      <w:pPr>
        <w:pStyle w:val="TextBody"/>
        <w:bidi w:val="0"/>
        <w:spacing w:before="0" w:after="0"/>
        <w:jc w:val="left"/>
        <w:rPr/>
      </w:pPr>
      <w:r>
        <w:rPr/>
      </w:r>
    </w:p>
    <w:tbl>
      <w:tblPr>
        <w:tblW w:w="5647" w:type="dxa"/>
        <w:jc w:val="left"/>
        <w:tblInd w:w="0" w:type="dxa"/>
        <w:tblLayout w:type="fixed"/>
        <w:tblCellMar>
          <w:top w:w="0" w:type="dxa"/>
          <w:left w:w="0" w:type="dxa"/>
          <w:bottom w:w="0" w:type="dxa"/>
          <w:right w:w="0" w:type="dxa"/>
        </w:tblCellMar>
      </w:tblPr>
      <w:tblGrid>
        <w:gridCol w:w="3290"/>
        <w:gridCol w:w="60"/>
        <w:gridCol w:w="207"/>
        <w:gridCol w:w="805"/>
        <w:gridCol w:w="99"/>
        <w:gridCol w:w="99"/>
        <w:gridCol w:w="207"/>
        <w:gridCol w:w="805"/>
        <w:gridCol w:w="75"/>
      </w:tblGrid>
      <w:tr>
        <w:trPr/>
        <w:tc>
          <w:tcPr>
            <w:tcW w:w="32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240.4</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WAINUA royalties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hanging="360"/>
              <w:jc w:val="left"/>
              <w:rPr>
                <w:rFonts w:ascii="Times New Roman;Times;serif" w:hAnsi="Times New Roman;Times;serif"/>
                <w:sz w:val="20"/>
              </w:rPr>
            </w:pPr>
            <w:r>
              <w:rPr>
                <w:rFonts w:ascii="Times New Roman;Times;serif" w:hAnsi="Times New Roman;Times;serif"/>
                <w:sz w:val="20"/>
              </w:rPr>
              <w:t>TEGSEDI and WAYLIVRA revenue, net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hanging="360"/>
              <w:jc w:val="left"/>
              <w:rPr>
                <w:rFonts w:ascii="Times New Roman;Times;serif" w:hAnsi="Times New Roman;Times;serif"/>
                <w:sz w:val="20"/>
              </w:rPr>
            </w:pPr>
            <w:r>
              <w:rPr>
                <w:rFonts w:ascii="Times New Roman;Times;serif" w:hAnsi="Times New Roman;Times;serif"/>
                <w:sz w:val="20"/>
              </w:rPr>
              <w:t>Other revenue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Total other commercial revenue</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firstLine="180"/>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293.1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308.6</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R&amp;D revenue:</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Amortization from upfront payments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125.3</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Milestone payments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100.5</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License fees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116.8</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 services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23.5</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firstLine="18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w:t>
            </w:r>
          </w:p>
        </w:tc>
        <w:tc>
          <w:tcPr>
            <w:tcW w:w="7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900" w:right="0" w:firstLine="540"/>
              <w:jc w:val="left"/>
              <w:rPr>
                <w:rFonts w:ascii="Times New Roman;Times;serif" w:hAnsi="Times New Roman;Times;serif"/>
                <w:sz w:val="20"/>
              </w:rPr>
            </w:pPr>
            <w:r>
              <w:rPr>
                <w:rFonts w:ascii="Times New Roman;Times;serif" w:hAnsi="Times New Roman;Times;serif"/>
                <w:sz w:val="20"/>
              </w:rPr>
              <w:t>Total R&amp;D revenue</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w:t>
            </w:r>
          </w:p>
        </w:tc>
        <w:tc>
          <w:tcPr>
            <w:tcW w:w="75"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0"/>
              <w:ind w:left="1980" w:right="0" w:hanging="0"/>
              <w:jc w:val="left"/>
              <w:rPr>
                <w:rFonts w:ascii="Times New Roman;Times;serif" w:hAnsi="Times New Roman;Times;serif"/>
                <w:sz w:val="20"/>
              </w:rPr>
            </w:pPr>
            <w:r>
              <w:rPr>
                <w:rFonts w:ascii="Times New Roman;Times;serif" w:hAnsi="Times New Roman;Times;serif"/>
                <w:sz w:val="20"/>
              </w:rPr>
              <w:t>Total revenue</w:t>
            </w:r>
          </w:p>
        </w:tc>
        <w:tc>
          <w:tcPr>
            <w:tcW w:w="6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705.1</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Commercial revenue in 2024 included new sources of commercial revenue with the launch of WAINUA in the U.S. in late January 2024 and the launch of TRYNGOLZA in the U.S. in late December 2024. SPINRAZA royalties in 2024 compared to 2023 were impacted from an annual order from a single country that did not recur in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R&amp;D revenue decreased in 2024 compared to 2023 primarily due to the decrease in WAINUA joint development revenue as development activities relating to ATTRv-PN wound down with the commercial launch of WAINUA. In addition, R&amp;D revenue decreased due to the timing of significant partner payments.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WAINUA (Eplontersen) Collaboration with 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financial results for the years ended December 31, 2024 and 2023 reflected the cost-sharing provisions related to our collaboration with AstraZeneca to develop and commercialize WAINUA for the treatment of ATTR. Under the terms of the collaboration agreement, AstraZeneca is currently paying 55 percent of the costs associated with the ongoing global Phase 3 development program. Because we are leading and conducting the Phase 3 development program, we are recognizing as R&amp;D revenue the 55 percent of cost-share funding AstraZeneca is responsible for, net of our share of AstraZeneca’s development expenses, in the same period we incur the related development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AstraZeneca is responsible for the vast majority of the medical affairs and commercial costs in the U.S. and all costs associated with bringing WAINUA to market outside the U.S., we are recognizing cost-share funding we receive from AstraZeneca related to these activities as a reduction of our medical affairs and commercialization expenses, which we classify as R&amp;D and selling, general and administrative, or SG&amp;A, expenses, respectively. We expect our medical affairs and commercialization expenses to increase as WAINUA advances toward the market under our collaboration with AstraZeneca.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revenue and expenses under this collaboration (in millions):</w:t>
      </w:r>
    </w:p>
    <w:p>
      <w:pPr>
        <w:pStyle w:val="TextBody"/>
        <w:bidi w:val="0"/>
        <w:spacing w:before="0" w:after="0"/>
        <w:jc w:val="left"/>
        <w:rPr/>
      </w:pPr>
      <w:r>
        <w:rPr/>
      </w:r>
    </w:p>
    <w:tbl>
      <w:tblPr>
        <w:tblW w:w="9817" w:type="dxa"/>
        <w:jc w:val="left"/>
        <w:tblInd w:w="0" w:type="dxa"/>
        <w:tblLayout w:type="fixed"/>
        <w:tblCellMar>
          <w:top w:w="0" w:type="dxa"/>
          <w:left w:w="0" w:type="dxa"/>
          <w:bottom w:w="0" w:type="dxa"/>
          <w:right w:w="0" w:type="dxa"/>
        </w:tblCellMar>
      </w:tblPr>
      <w:tblGrid>
        <w:gridCol w:w="7460"/>
        <w:gridCol w:w="60"/>
        <w:gridCol w:w="207"/>
        <w:gridCol w:w="805"/>
        <w:gridCol w:w="99"/>
        <w:gridCol w:w="99"/>
        <w:gridCol w:w="207"/>
        <w:gridCol w:w="805"/>
        <w:gridCol w:w="75"/>
      </w:tblGrid>
      <w:tr>
        <w:trPr/>
        <w:tc>
          <w:tcPr>
            <w:tcW w:w="7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74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126.4</w:t>
            </w:r>
          </w:p>
        </w:tc>
        <w:tc>
          <w:tcPr>
            <w:tcW w:w="75" w:type="dxa"/>
            <w:tcBorders/>
            <w:shd w:fill="CCEEFF" w:val="clear"/>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Research and development expenses related to Phase 3 development expenses for WAINUA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150.8</w:t>
            </w:r>
          </w:p>
        </w:tc>
        <w:tc>
          <w:tcPr>
            <w:tcW w:w="75" w:type="dxa"/>
            <w:tcBorders/>
            <w:vAlign w:val="bottom"/>
          </w:tcPr>
          <w:p>
            <w:pPr>
              <w:pStyle w:val="TableContents"/>
              <w:bidi w:val="0"/>
              <w:spacing w:before="0" w:after="283"/>
              <w:jc w:val="left"/>
              <w:rPr/>
            </w:pPr>
            <w:r>
              <w:rPr/>
              <w:t> </w:t>
            </w:r>
          </w:p>
        </w:tc>
      </w:tr>
      <w:tr>
        <w:trPr/>
        <w:tc>
          <w:tcPr>
            <w:tcW w:w="74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Medical affairs expenses for WAINUA</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w:t>
            </w:r>
          </w:p>
        </w:tc>
        <w:tc>
          <w:tcPr>
            <w:tcW w:w="75" w:type="dxa"/>
            <w:tcBorders/>
            <w:shd w:fill="CCEEFF" w:val="clear"/>
            <w:vAlign w:val="bottom"/>
          </w:tcPr>
          <w:p>
            <w:pPr>
              <w:pStyle w:val="TableContents"/>
              <w:bidi w:val="0"/>
              <w:spacing w:before="0" w:after="283"/>
              <w:jc w:val="left"/>
              <w:rPr/>
            </w:pPr>
            <w:r>
              <w:rPr/>
              <w:t> </w:t>
            </w:r>
          </w:p>
        </w:tc>
      </w:tr>
      <w:tr>
        <w:trPr/>
        <w:tc>
          <w:tcPr>
            <w:tcW w:w="74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Commercialization expenses for WAINUA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WAINUA joint development revenue in 2024 and 2023 includes a $30 million milestone payment from AstraZeneca that we earned when the MHRA approved WAINUA for ATTRv-PN in the UK as WAINZUA and a $50 million milestone payment from AstraZeneca that we earned when the FDA approved WAINUA for ATTRv-PN in the U.S., respectively.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rPr>
        <w:t>Operating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operating expenses (in millions):</w:t>
      </w:r>
    </w:p>
    <w:p>
      <w:pPr>
        <w:pStyle w:val="TextBody"/>
        <w:bidi w:val="0"/>
        <w:spacing w:before="0" w:after="0"/>
        <w:jc w:val="left"/>
        <w:rPr/>
      </w:pPr>
      <w:r>
        <w:rPr/>
      </w:r>
    </w:p>
    <w:tbl>
      <w:tblPr>
        <w:tblW w:w="9547" w:type="dxa"/>
        <w:jc w:val="left"/>
        <w:tblInd w:w="0" w:type="dxa"/>
        <w:tblLayout w:type="fixed"/>
        <w:tblCellMar>
          <w:top w:w="0" w:type="dxa"/>
          <w:left w:w="0" w:type="dxa"/>
          <w:bottom w:w="0" w:type="dxa"/>
          <w:right w:w="0" w:type="dxa"/>
        </w:tblCellMar>
      </w:tblPr>
      <w:tblGrid>
        <w:gridCol w:w="7190"/>
        <w:gridCol w:w="60"/>
        <w:gridCol w:w="169"/>
        <w:gridCol w:w="861"/>
        <w:gridCol w:w="81"/>
        <w:gridCol w:w="81"/>
        <w:gridCol w:w="169"/>
        <w:gridCol w:w="861"/>
        <w:gridCol w:w="75"/>
      </w:tblGrid>
      <w:tr>
        <w:trPr/>
        <w:tc>
          <w:tcPr>
            <w:tcW w:w="7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719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Operating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1,050.0</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1,035.7</w:t>
            </w:r>
          </w:p>
        </w:tc>
        <w:tc>
          <w:tcPr>
            <w:tcW w:w="75" w:type="dxa"/>
            <w:tcBorders/>
            <w:shd w:fill="CCEEFF" w:val="clear"/>
            <w:vAlign w:val="bottom"/>
          </w:tcPr>
          <w:p>
            <w:pPr>
              <w:pStyle w:val="TableContents"/>
              <w:bidi w:val="0"/>
              <w:spacing w:before="0" w:after="283"/>
              <w:jc w:val="left"/>
              <w:rPr/>
            </w:pPr>
            <w:r>
              <w:rPr/>
              <w:t> </w:t>
            </w:r>
          </w:p>
        </w:tc>
      </w:tr>
      <w:tr>
        <w:trPr/>
        <w:tc>
          <w:tcPr>
            <w:tcW w:w="719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86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105.7</w:t>
            </w:r>
          </w:p>
        </w:tc>
        <w:tc>
          <w:tcPr>
            <w:tcW w:w="75" w:type="dxa"/>
            <w:tcBorders/>
            <w:vAlign w:val="bottom"/>
          </w:tcPr>
          <w:p>
            <w:pPr>
              <w:pStyle w:val="TableContents"/>
              <w:bidi w:val="0"/>
              <w:spacing w:before="0" w:after="283"/>
              <w:jc w:val="left"/>
              <w:rPr/>
            </w:pPr>
            <w:r>
              <w:rPr/>
              <w:t> </w:t>
            </w:r>
          </w:p>
        </w:tc>
      </w:tr>
      <w:tr>
        <w:trPr/>
        <w:tc>
          <w:tcPr>
            <w:tcW w:w="719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1,180.2</w:t>
            </w:r>
          </w:p>
        </w:tc>
        <w:tc>
          <w:tcPr>
            <w:tcW w:w="8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Operating expenses, excluding non-cash compensation expense related to equity awards, increased slightly in 2024 compared to 2023. SG&amp;A expenses increased year over year primarily due to the launches of WAINUA and TRYNGOLZA, including establishing the TRYNGOLZA field team in the second quarter of 2024, and advancing launch preparation activities for donidalorsen. R&amp;D expenses were essentially flat year over year as several late-stage studies ended.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Non-cash compensation expense related to equity awards increased in 2024 compared to 2023 due to increased headcount and a higher stock price on the grant date of annual equity awards in 2024 compared to 2023. We believe non-cash compensation expense related to equity awards is not indicative of our operating results or cash flows from our operations.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Cost of Sales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cost of sales is comprised of costs related to our commercial revenue, which consisted of manufacturing costs, including certain fixed costs, transportation and freight, indirect overhead costs primarily associated with the manufacturing and distribution of TRYNGOLZA, TEGSEDI and WAYLIVRA and certain associated period costs.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cost of sales (in millions):</w:t>
      </w:r>
    </w:p>
    <w:p>
      <w:pPr>
        <w:pStyle w:val="TextBody"/>
        <w:bidi w:val="0"/>
        <w:spacing w:before="0" w:after="0"/>
        <w:jc w:val="left"/>
        <w:rPr/>
      </w:pPr>
      <w:r>
        <w:rPr/>
      </w:r>
    </w:p>
    <w:tbl>
      <w:tblPr>
        <w:tblW w:w="8977" w:type="dxa"/>
        <w:jc w:val="left"/>
        <w:tblInd w:w="0" w:type="dxa"/>
        <w:tblLayout w:type="fixed"/>
        <w:tblCellMar>
          <w:top w:w="0" w:type="dxa"/>
          <w:left w:w="0" w:type="dxa"/>
          <w:bottom w:w="0" w:type="dxa"/>
          <w:right w:w="0" w:type="dxa"/>
        </w:tblCellMar>
      </w:tblPr>
      <w:tblGrid>
        <w:gridCol w:w="6620"/>
        <w:gridCol w:w="60"/>
        <w:gridCol w:w="271"/>
        <w:gridCol w:w="824"/>
        <w:gridCol w:w="130"/>
        <w:gridCol w:w="130"/>
        <w:gridCol w:w="271"/>
        <w:gridCol w:w="596"/>
        <w:gridCol w:w="75"/>
      </w:tblGrid>
      <w:tr>
        <w:trPr/>
        <w:tc>
          <w:tcPr>
            <w:tcW w:w="66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66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662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Cost of sales,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w:t>
            </w:r>
          </w:p>
        </w:tc>
        <w:tc>
          <w:tcPr>
            <w:tcW w:w="75" w:type="dxa"/>
            <w:tcBorders/>
            <w:shd w:fill="CCEEFF" w:val="clear"/>
            <w:vAlign w:val="bottom"/>
          </w:tcPr>
          <w:p>
            <w:pPr>
              <w:pStyle w:val="TableContents"/>
              <w:bidi w:val="0"/>
              <w:spacing w:before="0" w:after="283"/>
              <w:jc w:val="left"/>
              <w:rPr/>
            </w:pPr>
            <w:r>
              <w:rPr/>
              <w:t> </w:t>
            </w:r>
          </w:p>
        </w:tc>
      </w:tr>
      <w:tr>
        <w:trPr/>
        <w:tc>
          <w:tcPr>
            <w:tcW w:w="662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2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0.8</w:t>
            </w:r>
          </w:p>
        </w:tc>
        <w:tc>
          <w:tcPr>
            <w:tcW w:w="13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7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75" w:type="dxa"/>
            <w:tcBorders/>
            <w:vAlign w:val="bottom"/>
          </w:tcPr>
          <w:p>
            <w:pPr>
              <w:pStyle w:val="TableContents"/>
              <w:bidi w:val="0"/>
              <w:spacing w:before="0" w:after="283"/>
              <w:jc w:val="left"/>
              <w:rPr/>
            </w:pPr>
            <w:r>
              <w:rPr/>
              <w:t> </w:t>
            </w:r>
          </w:p>
        </w:tc>
      </w:tr>
      <w:tr>
        <w:trPr/>
        <w:tc>
          <w:tcPr>
            <w:tcW w:w="662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cost of sales</w:t>
            </w:r>
          </w:p>
        </w:tc>
        <w:tc>
          <w:tcPr>
            <w:tcW w:w="60" w:type="dxa"/>
            <w:tcBorders/>
            <w:shd w:fill="CCEEFF" w:val="clear"/>
            <w:vAlign w:val="bottom"/>
          </w:tcPr>
          <w:p>
            <w:pPr>
              <w:pStyle w:val="TableContents"/>
              <w:bidi w:val="0"/>
              <w:spacing w:before="0" w:after="283"/>
              <w:jc w:val="left"/>
              <w:rPr/>
            </w:pPr>
            <w:r>
              <w:rPr/>
              <w:t> </w:t>
            </w:r>
          </w:p>
        </w:tc>
        <w:tc>
          <w:tcPr>
            <w:tcW w:w="2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w:t>
            </w:r>
          </w:p>
        </w:tc>
        <w:tc>
          <w:tcPr>
            <w:tcW w:w="13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7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Research, Development and Patent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patent expenses consist of expenses for drug discovery, drug development, medical affairs, manufacturing and development chemistry and R&amp;D support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research, development and patent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976"/>
        <w:gridCol w:w="60"/>
        <w:gridCol w:w="195"/>
        <w:gridCol w:w="758"/>
        <w:gridCol w:w="93"/>
        <w:gridCol w:w="93"/>
        <w:gridCol w:w="195"/>
        <w:gridCol w:w="758"/>
        <w:gridCol w:w="77"/>
      </w:tblGrid>
      <w:tr>
        <w:trPr/>
        <w:tc>
          <w:tcPr>
            <w:tcW w:w="79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9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7" w:type="dxa"/>
            <w:tcBorders/>
            <w:vAlign w:val="bottom"/>
          </w:tcPr>
          <w:p>
            <w:pPr>
              <w:pStyle w:val="TableContents"/>
              <w:bidi w:val="0"/>
              <w:spacing w:before="0" w:after="283"/>
              <w:jc w:val="left"/>
              <w:rPr/>
            </w:pPr>
            <w:r>
              <w:rPr/>
              <w:t> </w:t>
            </w:r>
          </w:p>
        </w:tc>
      </w:tr>
      <w:tr>
        <w:trPr/>
        <w:tc>
          <w:tcPr>
            <w:tcW w:w="79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7" w:type="dxa"/>
            <w:tcBorders/>
            <w:vAlign w:val="bottom"/>
          </w:tcPr>
          <w:p>
            <w:pPr>
              <w:pStyle w:val="TableContents"/>
              <w:bidi w:val="0"/>
              <w:spacing w:before="0" w:after="283"/>
              <w:jc w:val="left"/>
              <w:rPr/>
            </w:pPr>
            <w:r>
              <w:rPr/>
              <w:t> </w:t>
            </w:r>
          </w:p>
        </w:tc>
      </w:tr>
      <w:tr>
        <w:trPr/>
        <w:tc>
          <w:tcPr>
            <w:tcW w:w="7976"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Research, development and patent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809.1</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821.7</w:t>
            </w:r>
          </w:p>
        </w:tc>
        <w:tc>
          <w:tcPr>
            <w:tcW w:w="77" w:type="dxa"/>
            <w:tcBorders/>
            <w:shd w:fill="CCEEFF" w:val="clear"/>
            <w:vAlign w:val="bottom"/>
          </w:tcPr>
          <w:p>
            <w:pPr>
              <w:pStyle w:val="TableContents"/>
              <w:bidi w:val="0"/>
              <w:spacing w:before="0" w:after="283"/>
              <w:jc w:val="left"/>
              <w:rPr/>
            </w:pPr>
            <w:r>
              <w:rPr/>
              <w:t> </w:t>
            </w:r>
          </w:p>
        </w:tc>
      </w:tr>
      <w:tr>
        <w:trPr/>
        <w:tc>
          <w:tcPr>
            <w:tcW w:w="7976"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shd w:fill="FFFFFF" w:val="clear"/>
            <w:vAlign w:val="bottom"/>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92.4</w:t>
            </w:r>
          </w:p>
        </w:tc>
        <w:tc>
          <w:tcPr>
            <w:tcW w:w="93" w:type="dxa"/>
            <w:tcBorders/>
            <w:shd w:fill="FFFFFF" w:val="clear"/>
            <w:vAlign w:val="bottom"/>
          </w:tcPr>
          <w:p>
            <w:pPr>
              <w:pStyle w:val="TableContents"/>
              <w:bidi w:val="0"/>
              <w:spacing w:before="0" w:after="283"/>
              <w:jc w:val="left"/>
              <w:rPr/>
            </w:pPr>
            <w:r>
              <w:rPr/>
              <w:t> </w:t>
            </w:r>
          </w:p>
        </w:tc>
        <w:tc>
          <w:tcPr>
            <w:tcW w:w="93" w:type="dxa"/>
            <w:tcBorders/>
            <w:shd w:fill="FFFFFF" w:val="clear"/>
            <w:vAlign w:val="bottom"/>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77.9</w:t>
            </w:r>
          </w:p>
        </w:tc>
        <w:tc>
          <w:tcPr>
            <w:tcW w:w="77" w:type="dxa"/>
            <w:tcBorders/>
            <w:shd w:fill="FFFFFF" w:val="clear"/>
            <w:vAlign w:val="bottom"/>
          </w:tcPr>
          <w:p>
            <w:pPr>
              <w:pStyle w:val="TableContents"/>
              <w:bidi w:val="0"/>
              <w:spacing w:before="0" w:after="283"/>
              <w:jc w:val="left"/>
              <w:rPr/>
            </w:pPr>
            <w:r>
              <w:rPr/>
              <w:t> </w:t>
            </w:r>
          </w:p>
        </w:tc>
      </w:tr>
      <w:tr>
        <w:trPr/>
        <w:tc>
          <w:tcPr>
            <w:tcW w:w="7976"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research, development and patent expenses</w:t>
            </w:r>
          </w:p>
        </w:tc>
        <w:tc>
          <w:tcPr>
            <w:tcW w:w="60"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901.5</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899.6</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Drug Discovery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our proprietary technologies to generate information about the function of genes and to determine the value of genes as drug discovery targets. We use this information to direct our own drug discovery research, and that of our partners. Drug discovery is also the function that is responsible for advancing our core technology. This function is also responsible for making investments in complementary technologies to expand the reach of our technologies.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drug discovery expenses (in millions):</w:t>
      </w:r>
    </w:p>
    <w:p>
      <w:pPr>
        <w:pStyle w:val="TextBody"/>
        <w:bidi w:val="0"/>
        <w:spacing w:before="0" w:after="0"/>
        <w:jc w:val="left"/>
        <w:rPr/>
      </w:pPr>
      <w:r>
        <w:rPr/>
      </w:r>
    </w:p>
    <w:tbl>
      <w:tblPr>
        <w:tblW w:w="9982" w:type="dxa"/>
        <w:jc w:val="left"/>
        <w:tblInd w:w="0" w:type="dxa"/>
        <w:tblLayout w:type="fixed"/>
        <w:tblCellMar>
          <w:top w:w="0" w:type="dxa"/>
          <w:left w:w="0" w:type="dxa"/>
          <w:bottom w:w="0" w:type="dxa"/>
          <w:right w:w="0" w:type="dxa"/>
        </w:tblCellMar>
      </w:tblPr>
      <w:tblGrid>
        <w:gridCol w:w="7625"/>
        <w:gridCol w:w="60"/>
        <w:gridCol w:w="207"/>
        <w:gridCol w:w="805"/>
        <w:gridCol w:w="99"/>
        <w:gridCol w:w="99"/>
        <w:gridCol w:w="207"/>
        <w:gridCol w:w="805"/>
        <w:gridCol w:w="75"/>
      </w:tblGrid>
      <w:tr>
        <w:trPr/>
        <w:tc>
          <w:tcPr>
            <w:tcW w:w="76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Drug discovery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125.6</w:t>
            </w:r>
          </w:p>
        </w:tc>
        <w:tc>
          <w:tcPr>
            <w:tcW w:w="75"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16.2</w:t>
            </w:r>
          </w:p>
        </w:tc>
        <w:tc>
          <w:tcPr>
            <w:tcW w:w="75"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discovery expenses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132.8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Drug discovery expenses, excluding non-cash compensation expense related to equity awards, decreased in 2024 compared to 2023. In 2023, we recognized $15 million in R&amp;D expense for licensing Vect-Horus’ platform technology.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Drug Development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drug development expenses, including expenses for our marketed medicines and those in Phase 3 development for which we have incurred significant costs (in millions):</w:t>
      </w:r>
    </w:p>
    <w:p>
      <w:pPr>
        <w:pStyle w:val="TextBody"/>
        <w:bidi w:val="0"/>
        <w:spacing w:before="0" w:after="0"/>
        <w:jc w:val="left"/>
        <w:rPr/>
      </w:pPr>
      <w:r>
        <w:rPr/>
      </w:r>
    </w:p>
    <w:tbl>
      <w:tblPr>
        <w:tblW w:w="9922" w:type="dxa"/>
        <w:jc w:val="left"/>
        <w:tblInd w:w="0" w:type="dxa"/>
        <w:tblLayout w:type="fixed"/>
        <w:tblCellMar>
          <w:top w:w="0" w:type="dxa"/>
          <w:left w:w="0" w:type="dxa"/>
          <w:bottom w:w="0" w:type="dxa"/>
          <w:right w:w="0" w:type="dxa"/>
        </w:tblCellMar>
      </w:tblPr>
      <w:tblGrid>
        <w:gridCol w:w="7565"/>
        <w:gridCol w:w="60"/>
        <w:gridCol w:w="207"/>
        <w:gridCol w:w="805"/>
        <w:gridCol w:w="99"/>
        <w:gridCol w:w="99"/>
        <w:gridCol w:w="207"/>
        <w:gridCol w:w="805"/>
        <w:gridCol w:w="75"/>
      </w:tblGrid>
      <w:tr>
        <w:trPr/>
        <w:tc>
          <w:tcPr>
            <w:tcW w:w="7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WAINUA</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103.7</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115.5</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TEGSEDI and WAYLIVRA</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Olezarsen</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138.3</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Donidalorsen</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24.9</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Zilganersen</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Ulefnersen</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development projects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101.0</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Development overhead expenses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135.9</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123.3</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development,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527.3</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530.3</w:t>
            </w:r>
          </w:p>
        </w:tc>
        <w:tc>
          <w:tcPr>
            <w:tcW w:w="75"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34.5</w:t>
            </w:r>
          </w:p>
        </w:tc>
        <w:tc>
          <w:tcPr>
            <w:tcW w:w="75"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drug development expenses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568.5</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564.8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development expenses, excluding non-cash compensation expense related to equity awards, were essentially flat in 2024 compared to 2023. We expect our development expenses will continue to be stable as several late-stage studies end and we reallocate resources toward earlier stage programs.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conduct multiple clinical trials on a drug candidate, including multiple clinical trials for the various indications we may be studying. Furthermore, as we obtain results from trials, we may elect to discontinue clinical trials for certain drug candidates in certain indications in order to focus our resources on more promising drug candidates or indications. Our Phase 1 and Phase 2 programs are clinical research programs that fuel our Phase 3 pipeline. When our medicines are in Phase 1 or Phase 2 clinical trials, they are in a dynamic state in which we may adjust the development strategy for each medicine. Although we may characterize a medicine as “in Phase 1” or “in Phase 2,” it does not mean that we are conducting a single, well-defined study with dedicated resources. Instead, we allocate our internal resources on a shared basis across numerous medicines based on each medicine’s particular needs at that time. This means we are constantly shifting resources among medicines. Therefore, what we spend on each medicine during a particular period is usually a function of what is required to keep the medicines progressing in clinical development, not what medicines we think are most important. For example, the number of people required to start a new study is large, the number of people required to keep a study going is modest and the number of people required to finish a study is large. However, such fluctuations are not indicative of a shift in our emphasis from one medicine to another and cannot be used to accurately predict future costs for each medicine. Because we always have numerous medicines in preclinical and varying stages of clinical research, the fluctuations in expenses from medicine to medicine, in large part, offset one another. If we partner a medicine, it may affect the size of a trial, its timing, its total cost and the timing of the related costs.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Medical Affairs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medical affairs function is responsible for funding and coordinating investigator-sponsored trials, communicating scientific and clinical information to healthcare providers, medical professionals and patients, and managing publications.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medical affairs expenses (in millions):</w:t>
      </w:r>
    </w:p>
    <w:p>
      <w:pPr>
        <w:pStyle w:val="TextBody"/>
        <w:bidi w:val="0"/>
        <w:spacing w:before="0" w:after="0"/>
        <w:jc w:val="left"/>
        <w:rPr/>
      </w:pPr>
      <w:r>
        <w:rPr/>
      </w:r>
    </w:p>
    <w:tbl>
      <w:tblPr>
        <w:tblW w:w="9954" w:type="dxa"/>
        <w:jc w:val="left"/>
        <w:tblInd w:w="0" w:type="dxa"/>
        <w:tblLayout w:type="fixed"/>
        <w:tblCellMar>
          <w:top w:w="0" w:type="dxa"/>
          <w:left w:w="0" w:type="dxa"/>
          <w:bottom w:w="0" w:type="dxa"/>
          <w:right w:w="0" w:type="dxa"/>
        </w:tblCellMar>
      </w:tblPr>
      <w:tblGrid>
        <w:gridCol w:w="7595"/>
        <w:gridCol w:w="60"/>
        <w:gridCol w:w="246"/>
        <w:gridCol w:w="748"/>
        <w:gridCol w:w="118"/>
        <w:gridCol w:w="118"/>
        <w:gridCol w:w="246"/>
        <w:gridCol w:w="748"/>
        <w:gridCol w:w="75"/>
      </w:tblGrid>
      <w:tr>
        <w:trPr/>
        <w:tc>
          <w:tcPr>
            <w:tcW w:w="7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4"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75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759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Medical affairs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w:t>
            </w:r>
          </w:p>
        </w:tc>
        <w:tc>
          <w:tcPr>
            <w:tcW w:w="75" w:type="dxa"/>
            <w:tcBorders/>
            <w:shd w:fill="CCEEFF" w:val="clear"/>
            <w:vAlign w:val="bottom"/>
          </w:tcPr>
          <w:p>
            <w:pPr>
              <w:pStyle w:val="TableContents"/>
              <w:bidi w:val="0"/>
              <w:spacing w:before="0" w:after="283"/>
              <w:jc w:val="left"/>
              <w:rPr/>
            </w:pPr>
            <w:r>
              <w:rPr/>
              <w:t> </w:t>
            </w:r>
          </w:p>
        </w:tc>
      </w:tr>
      <w:tr>
        <w:trPr/>
        <w:tc>
          <w:tcPr>
            <w:tcW w:w="759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75" w:type="dxa"/>
            <w:tcBorders/>
            <w:vAlign w:val="bottom"/>
          </w:tcPr>
          <w:p>
            <w:pPr>
              <w:pStyle w:val="TableContents"/>
              <w:bidi w:val="0"/>
              <w:spacing w:before="0" w:after="283"/>
              <w:jc w:val="left"/>
              <w:rPr/>
            </w:pPr>
            <w:r>
              <w:rPr/>
              <w:t> </w:t>
            </w:r>
          </w:p>
        </w:tc>
      </w:tr>
      <w:tr>
        <w:trPr/>
        <w:tc>
          <w:tcPr>
            <w:tcW w:w="759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medical affairs expenses</w:t>
            </w:r>
          </w:p>
        </w:tc>
        <w:tc>
          <w:tcPr>
            <w:tcW w:w="60"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Medical affairs expenses, excluding non-cash compensation expense related to equity awards, increased in 2024 compared to 2023 as we continued advancing our late-stage pipeline.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u w:val="single"/>
        </w:rPr>
      </w:pPr>
      <w:r>
        <w:rPr>
          <w:rFonts w:ascii="Times New Roman;Times;serif" w:hAnsi="Times New Roman;Times;serif"/>
          <w:color w:val="000000"/>
          <w:sz w:val="20"/>
          <w:u w:val="single"/>
        </w:rPr>
        <w:t>Manufacturing and Development Chemistry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Expenditures in our manufacturing and development chemistry function consist primarily of personnel costs, specialized chemicals for oligonucleotide manufacturing, validation batches to support regulatory approvals, laboratory supplies and outside services. Our manufacturing and development chemistry function is responsible for providing drug supplies to drug development and our collaboration partners. Our manufacturing procedures include testing to satisfy good laboratory and good manufacturing practice requirements.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manufacturing and development chemistry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8071"/>
        <w:gridCol w:w="60"/>
        <w:gridCol w:w="221"/>
        <w:gridCol w:w="672"/>
        <w:gridCol w:w="106"/>
        <w:gridCol w:w="106"/>
        <w:gridCol w:w="221"/>
        <w:gridCol w:w="672"/>
        <w:gridCol w:w="76"/>
      </w:tblGrid>
      <w:tr>
        <w:trPr/>
        <w:tc>
          <w:tcPr>
            <w:tcW w:w="80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6" w:type="dxa"/>
            <w:tcBorders/>
            <w:vAlign w:val="bottom"/>
          </w:tcPr>
          <w:p>
            <w:pPr>
              <w:pStyle w:val="TableContents"/>
              <w:bidi w:val="0"/>
              <w:spacing w:before="0" w:after="283"/>
              <w:jc w:val="left"/>
              <w:rPr/>
            </w:pPr>
            <w:r>
              <w:rPr/>
              <w:t> </w:t>
            </w:r>
          </w:p>
        </w:tc>
      </w:tr>
      <w:tr>
        <w:trPr/>
        <w:tc>
          <w:tcPr>
            <w:tcW w:w="80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6" w:type="dxa"/>
            <w:tcBorders/>
            <w:vAlign w:val="bottom"/>
          </w:tcPr>
          <w:p>
            <w:pPr>
              <w:pStyle w:val="TableContents"/>
              <w:bidi w:val="0"/>
              <w:spacing w:before="0" w:after="283"/>
              <w:jc w:val="left"/>
              <w:rPr/>
            </w:pPr>
            <w:r>
              <w:rPr/>
              <w:t> </w:t>
            </w:r>
          </w:p>
        </w:tc>
      </w:tr>
      <w:tr>
        <w:trPr/>
        <w:tc>
          <w:tcPr>
            <w:tcW w:w="807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Manufacturing and development chemistry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65.3</w:t>
            </w:r>
          </w:p>
        </w:tc>
        <w:tc>
          <w:tcPr>
            <w:tcW w:w="76" w:type="dxa"/>
            <w:tcBorders/>
            <w:shd w:fill="CCEEFF" w:val="clear"/>
            <w:vAlign w:val="bottom"/>
          </w:tcPr>
          <w:p>
            <w:pPr>
              <w:pStyle w:val="TableContents"/>
              <w:bidi w:val="0"/>
              <w:spacing w:before="0" w:after="283"/>
              <w:jc w:val="left"/>
              <w:rPr/>
            </w:pPr>
            <w:r>
              <w:rPr/>
              <w:t> </w:t>
            </w:r>
          </w:p>
        </w:tc>
      </w:tr>
      <w:tr>
        <w:trPr/>
        <w:tc>
          <w:tcPr>
            <w:tcW w:w="8071"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w:t>
            </w:r>
          </w:p>
        </w:tc>
        <w:tc>
          <w:tcPr>
            <w:tcW w:w="76" w:type="dxa"/>
            <w:tcBorders/>
            <w:vAlign w:val="bottom"/>
          </w:tcPr>
          <w:p>
            <w:pPr>
              <w:pStyle w:val="TableContents"/>
              <w:bidi w:val="0"/>
              <w:spacing w:before="0" w:after="283"/>
              <w:jc w:val="left"/>
              <w:rPr/>
            </w:pPr>
            <w:r>
              <w:rPr/>
              <w:t> </w:t>
            </w:r>
          </w:p>
        </w:tc>
      </w:tr>
      <w:tr>
        <w:trPr/>
        <w:tc>
          <w:tcPr>
            <w:tcW w:w="807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manufacturing and development chemistry expenses</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74.1</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Manufacturing and development chemistry expenses, excluding non-cash compensation expense related to equity awards, decreased in 2024 compared to 2023 due to the timing of manufacturing performed by our contract manufacturing organizations for drug product related to several late-stage programs. Refer to the section titled, </w:t>
      </w:r>
      <w:r>
        <w:rPr>
          <w:rFonts w:ascii="Times New Roman;Times;serif" w:hAnsi="Times New Roman;Times;serif"/>
          <w:i/>
          <w:color w:val="000000"/>
          <w:sz w:val="20"/>
        </w:rPr>
        <w:t>Manufacturing</w:t>
      </w:r>
      <w:r>
        <w:rPr>
          <w:rFonts w:ascii="Times New Roman;Times;serif" w:hAnsi="Times New Roman;Times;serif"/>
          <w:color w:val="000000"/>
          <w:sz w:val="20"/>
        </w:rPr>
        <w:t xml:space="preserve">, in Part I, Item 1, </w:t>
      </w:r>
      <w:r>
        <w:rPr>
          <w:rFonts w:ascii="Times New Roman;Times;serif" w:hAnsi="Times New Roman;Times;serif"/>
          <w:i/>
          <w:color w:val="000000"/>
          <w:sz w:val="20"/>
        </w:rPr>
        <w:t>Business</w:t>
      </w:r>
      <w:r>
        <w:rPr>
          <w:rFonts w:ascii="Times New Roman;Times;serif" w:hAnsi="Times New Roman;Times;serif"/>
          <w:color w:val="000000"/>
          <w:sz w:val="20"/>
        </w:rPr>
        <w:t>, for further details on the activities and types of costs we incur in our manufacturing process.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R&amp;D Support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research, development and patent expenses, we include support costs such as rent, repair and maintenance for buildings and equipment, utilities, depreciation of laboratory equipment and facilities, amortization of our intellectual property, information technology costs, procurement costs and waste disposal costs. We call these costs R&amp;D support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R&amp;D support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8"/>
        <w:gridCol w:w="60"/>
        <w:gridCol w:w="223"/>
        <w:gridCol w:w="868"/>
        <w:gridCol w:w="107"/>
        <w:gridCol w:w="107"/>
        <w:gridCol w:w="223"/>
        <w:gridCol w:w="680"/>
        <w:gridCol w:w="79"/>
      </w:tblGrid>
      <w:tr>
        <w:trPr/>
        <w:tc>
          <w:tcPr>
            <w:tcW w:w="78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9" w:type="dxa"/>
            <w:tcBorders/>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90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Personnel costs</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31.4</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Occupancy</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28.5</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Consulting</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Patent expenses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Insurance</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Computer software and licenses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R&amp;D support expenses, excluding non-cash compensation expense related to equity awards</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82.6</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w:t>
            </w:r>
          </w:p>
        </w:tc>
        <w:tc>
          <w:tcPr>
            <w:tcW w:w="79" w:type="dxa"/>
            <w:tcBorders/>
            <w:vAlign w:val="bottom"/>
          </w:tcPr>
          <w:p>
            <w:pPr>
              <w:pStyle w:val="TableContents"/>
              <w:bidi w:val="0"/>
              <w:spacing w:before="0" w:after="283"/>
              <w:jc w:val="left"/>
              <w:rPr/>
            </w:pPr>
            <w:r>
              <w:rPr/>
              <w:t> </w:t>
            </w:r>
          </w:p>
        </w:tc>
      </w:tr>
      <w:tr>
        <w:trPr/>
        <w:tc>
          <w:tcPr>
            <w:tcW w:w="7858"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w:t>
            </w:r>
          </w:p>
        </w:tc>
        <w:tc>
          <w:tcPr>
            <w:tcW w:w="1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w:t>
            </w:r>
          </w:p>
        </w:tc>
        <w:tc>
          <w:tcPr>
            <w:tcW w:w="79" w:type="dxa"/>
            <w:tcBorders/>
            <w:shd w:fill="CCEEFF" w:val="clear"/>
            <w:vAlign w:val="bottom"/>
          </w:tcPr>
          <w:p>
            <w:pPr>
              <w:pStyle w:val="TableContents"/>
              <w:bidi w:val="0"/>
              <w:spacing w:before="0" w:after="283"/>
              <w:jc w:val="left"/>
              <w:rPr/>
            </w:pPr>
            <w:r>
              <w:rPr/>
              <w:t> </w:t>
            </w:r>
          </w:p>
        </w:tc>
      </w:tr>
      <w:tr>
        <w:trPr/>
        <w:tc>
          <w:tcPr>
            <w:tcW w:w="7858"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R&amp;D support expenses</w:t>
            </w:r>
          </w:p>
        </w:tc>
        <w:tc>
          <w:tcPr>
            <w:tcW w:w="60"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101.2</w:t>
            </w:r>
          </w:p>
        </w:tc>
        <w:tc>
          <w:tcPr>
            <w:tcW w:w="1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23"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96.0</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R&amp;D support expenses, excluding non-cash compensation expense related to equity awards, were essentially flat in 2024 compared to 2023.</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Selling, General and Administrative Expenses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SG&amp;A expenses include personnel and outside costs associated with the pre-commercialization and commercialization activities for our medicines and costs to support our company, our employees and our stockholders including, legal, human resources, investor relations and finance. Additionally, we include in SG&amp;A expenses such costs as rent, repair and maintenance of buildings and equipment, depreciation and utilities costs that we need to support the corporate functions listed above. We also include fees we owe under our in-licensing agreements related to SPINRAZA and QALSODY.</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following table sets forth information on SG&amp;A expenses (in millions):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980"/>
        <w:gridCol w:w="60"/>
        <w:gridCol w:w="194"/>
        <w:gridCol w:w="756"/>
        <w:gridCol w:w="93"/>
        <w:gridCol w:w="93"/>
        <w:gridCol w:w="194"/>
        <w:gridCol w:w="756"/>
        <w:gridCol w:w="79"/>
      </w:tblGrid>
      <w:tr>
        <w:trPr/>
        <w:tc>
          <w:tcPr>
            <w:tcW w:w="7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6"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9" w:type="dxa"/>
            <w:tcBorders/>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9" w:type="dxa"/>
            <w:tcBorders/>
            <w:vAlign w:val="bottom"/>
          </w:tcPr>
          <w:p>
            <w:pPr>
              <w:pStyle w:val="TableContents"/>
              <w:bidi w:val="0"/>
              <w:spacing w:before="0" w:after="283"/>
              <w:jc w:val="left"/>
              <w:rPr/>
            </w:pPr>
            <w:r>
              <w:rPr/>
              <w:t> </w:t>
            </w:r>
          </w:p>
        </w:tc>
      </w:tr>
      <w:tr>
        <w:trPr/>
        <w:tc>
          <w:tcPr>
            <w:tcW w:w="79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Selling, general and administrative expenses, excluding non-cash compensation expense related to equity awards</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230.5</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205.1</w:t>
            </w:r>
          </w:p>
        </w:tc>
        <w:tc>
          <w:tcPr>
            <w:tcW w:w="79" w:type="dxa"/>
            <w:tcBorders/>
            <w:shd w:fill="CCEEFF" w:val="clear"/>
            <w:vAlign w:val="bottom"/>
          </w:tcPr>
          <w:p>
            <w:pPr>
              <w:pStyle w:val="TableContents"/>
              <w:bidi w:val="0"/>
              <w:spacing w:before="0" w:after="283"/>
              <w:jc w:val="left"/>
              <w:rPr/>
            </w:pPr>
            <w:r>
              <w:rPr/>
              <w:t> </w:t>
            </w:r>
          </w:p>
        </w:tc>
      </w:tr>
      <w:tr>
        <w:trPr/>
        <w:tc>
          <w:tcPr>
            <w:tcW w:w="79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Non-cash compensation expense related to equity awards</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27.5</w:t>
            </w:r>
          </w:p>
        </w:tc>
        <w:tc>
          <w:tcPr>
            <w:tcW w:w="79" w:type="dxa"/>
            <w:tcBorders/>
            <w:vAlign w:val="bottom"/>
          </w:tcPr>
          <w:p>
            <w:pPr>
              <w:pStyle w:val="TableContents"/>
              <w:bidi w:val="0"/>
              <w:spacing w:before="0" w:after="283"/>
              <w:jc w:val="left"/>
              <w:rPr/>
            </w:pPr>
            <w:r>
              <w:rPr/>
              <w:t> </w:t>
            </w:r>
          </w:p>
        </w:tc>
      </w:tr>
      <w:tr>
        <w:trPr/>
        <w:tc>
          <w:tcPr>
            <w:tcW w:w="79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267.5</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232.6</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SG&amp;A expenses, excluding non-cash compensation expense related to equity awards, increased in 2024 compared to 2023 due to the launches of WAINUA and TRYNGOLZA, including establishing the TRYNGOLZA field team in the second quarter of 2024, and advancing launch preparation activities for donidalorsen. We expect SG&amp;A expenses to increase as we continue to invest in our independent commercial launches.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Investment Income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Investment income for 2024 was $107.0 million compared to $89.0 million for 2023. The increase in investment income was primarily due to an increase in interest rates associated with our investments during a majority of 2024 compared to 2023. In addition, our cash available for investing increased due to the $489.1 million net proceeds we received from our public common stock offering in September 2024. Refer to Part IV, Item 15, Note 8, </w:t>
      </w:r>
      <w:r>
        <w:rPr>
          <w:rFonts w:ascii="Times New Roman;Times;serif" w:hAnsi="Times New Roman;Times;serif"/>
          <w:i/>
          <w:color w:val="000000"/>
          <w:sz w:val="20"/>
        </w:rPr>
        <w:t>Stockholders’ Equity</w:t>
      </w:r>
      <w:r>
        <w:rPr>
          <w:rFonts w:ascii="Times New Roman;Times;serif" w:hAnsi="Times New Roman;Times;serif"/>
          <w:color w:val="000000"/>
          <w:sz w:val="20"/>
        </w:rPr>
        <w:t>, in the Notes to the Consolidated Financial Statements for further details on the public offering.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Interest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interest expense (in millions):</w:t>
      </w:r>
    </w:p>
    <w:p>
      <w:pPr>
        <w:pStyle w:val="TextBody"/>
        <w:bidi w:val="0"/>
        <w:spacing w:before="0" w:after="0"/>
        <w:jc w:val="left"/>
        <w:rPr/>
      </w:pPr>
      <w:r>
        <w:rPr/>
      </w:r>
    </w:p>
    <w:tbl>
      <w:tblPr>
        <w:tblW w:w="7794" w:type="dxa"/>
        <w:jc w:val="left"/>
        <w:tblInd w:w="0" w:type="dxa"/>
        <w:tblLayout w:type="fixed"/>
        <w:tblCellMar>
          <w:top w:w="0" w:type="dxa"/>
          <w:left w:w="0" w:type="dxa"/>
          <w:bottom w:w="0" w:type="dxa"/>
          <w:right w:w="0" w:type="dxa"/>
        </w:tblCellMar>
      </w:tblPr>
      <w:tblGrid>
        <w:gridCol w:w="5435"/>
        <w:gridCol w:w="60"/>
        <w:gridCol w:w="246"/>
        <w:gridCol w:w="748"/>
        <w:gridCol w:w="118"/>
        <w:gridCol w:w="118"/>
        <w:gridCol w:w="246"/>
        <w:gridCol w:w="748"/>
        <w:gridCol w:w="75"/>
      </w:tblGrid>
      <w:tr>
        <w:trPr/>
        <w:tc>
          <w:tcPr>
            <w:tcW w:w="54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4"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Convertible senior notes:</w:t>
            </w:r>
          </w:p>
        </w:tc>
        <w:tc>
          <w:tcPr>
            <w:tcW w:w="60"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Non-cash amortization of debt issuance costs</w:t>
            </w:r>
          </w:p>
        </w:tc>
        <w:tc>
          <w:tcPr>
            <w:tcW w:w="6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w:t>
            </w:r>
          </w:p>
        </w:tc>
        <w:tc>
          <w:tcPr>
            <w:tcW w:w="75"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Interest expense payable in cash</w:t>
            </w:r>
          </w:p>
        </w:tc>
        <w:tc>
          <w:tcPr>
            <w:tcW w:w="60"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75" w:type="dxa"/>
            <w:tcBorders/>
            <w:vAlign w:val="bottom"/>
          </w:tcPr>
          <w:p>
            <w:pPr>
              <w:pStyle w:val="TableContents"/>
              <w:bidi w:val="0"/>
              <w:spacing w:before="0" w:after="283"/>
              <w:jc w:val="left"/>
              <w:rPr/>
            </w:pPr>
            <w:r>
              <w:rPr/>
              <w:t> </w:t>
            </w:r>
          </w:p>
        </w:tc>
      </w:tr>
      <w:tr>
        <w:trPr/>
        <w:tc>
          <w:tcPr>
            <w:tcW w:w="543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Interest on mortgage for primary R&amp;D and manufacturing facilities</w:t>
            </w:r>
          </w:p>
        </w:tc>
        <w:tc>
          <w:tcPr>
            <w:tcW w:w="60" w:type="dxa"/>
            <w:tcBorders/>
            <w:shd w:fill="CCEEFF" w:val="clear"/>
            <w:vAlign w:val="bottom"/>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75"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Total interest expense</w:t>
            </w:r>
          </w:p>
        </w:tc>
        <w:tc>
          <w:tcPr>
            <w:tcW w:w="60" w:type="dxa"/>
            <w:tcBorders/>
            <w:vAlign w:val="bottom"/>
          </w:tcPr>
          <w:p>
            <w:pPr>
              <w:pStyle w:val="TableContents"/>
              <w:bidi w:val="0"/>
              <w:spacing w:before="0" w:after="283"/>
              <w:jc w:val="left"/>
              <w:rPr/>
            </w:pPr>
            <w:r>
              <w:rPr/>
              <w:t> </w:t>
            </w:r>
          </w:p>
        </w:tc>
        <w:tc>
          <w:tcPr>
            <w:tcW w:w="24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4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4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Interest expense for 2024 was $17.0 million compared to $12.7 million for 2023. In June 2023, we completed a $575.0 million offering of our 1.75% Notes and repurchased $504.4 million in principal of our 0.125% Notes. As a result, beginning in the second quarter of 2023, our interest expense related to our convertible notes included interest expense incurred for our 1.75% Notes. Interest expense in 2024 included a full year of interest expense related to our 1.75% Notes.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Interest Expense Related to Sale of Future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$73.5 million and $68.8 million of interest expense related to the sale of future royalties in 2024 and 2023, respectively. These amounts are related to the Royalty Pharma Investments, or Royalty Pharma, transaction, in which we sold a minority interest in our future SPINRAZA and pelacarsen royalties to Royalty Pharma for a $500 million upfront payment and $625 million of potential future payments.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Loss on Investments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a $2.9 million and $1.9 million loss on investments for 2024 and 2023, respectively. The period-over-period fluctuation in our loss on investments was primarily driven by changes in the fair value of our investments in privately held and publicly traded biotechnology companies.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Other Income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2023, we completed a $575.0 million offering of our 1.75% Notes and used $488.2 million of the net proceeds to repurchase $504.4 million in principal of our 0.125% Notes. As a result of these repurchases, we recorded a $13.4 million gain on early retirement of debt in 2023, which reflects the difference between the amounts we paid to repurchase portions of our 0.125% Notes and the net carrying balance of the liability at the time that we repurchased the debt.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regarding our convertible debt.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Income Tax Expense (Benefit)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an income tax benefit of $6.2 million for 2024 compared to an income tax expense of $32.3 million for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income tax benefit during 2024 primarily related to adjustments to prior year tax return positions for the royalty purchase agreement with Royalty Pharma and deductions related to foreign SPINRAZA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decrease in income tax expense for 2024 compared to 2023 primarily related to the impact of the Royalty Pharma transaction in 2023. We reflected the Royalty Pharma transaction as a taxable sale, which required us to include the proceeds from the sale, net of currently deductible issuance costs, as taxable income in 2023.</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continue to maintain a full valuation allowance on all our net deferred tax assets.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Net Loss and Net Loss per Share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generated a net loss of $453.9 million for 2024 compared to $366.3 million for 2023. Our net loss increased for 2024 compared to 2023 primarily due to factors discussed in the sections above. Basic and diluted net loss per share for 2024 were $3.04 compared to $2.56 for 2023. Our net loss per share increased for 2024 compared to 2023 primarily due to factors discussed in the sections above.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Liquidity and Capital Resources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financed our operations primarily from research and development collaborative agreements. We also financed our operations from commercial revenue from SPINRAZA royalties and TEGSEDI and WAYLIVRA commercial revenue. In addition, we began receiving commercial revenue from WAINUA royalties in 2024. From our inception through December 31, 2024, we have earned approximately $7.9 billion in revenue. We have also financed our operations through the sale of our equity securities, the issuance of long-term debt, the sale leaseback of facilities and the sale of future royalties. From the time we were founded through December 31, 2024, we have raised net proceeds of approximately $2.6 billion from the sale of our equity securities, which includes our sale of 11.5 million shares of common stock for net proceeds of $489 million in September 2024. Additionally, from our inception through December 31, 2024, we have borrowed approximately $2.7 billion under long-term debt arrangements and received proceeds of approximately $0.5 billion from the sale of future royalties to finance a portion of our operations.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working capital increased from 2023 to 2024 primarily due to a decrease in current liabilities as a result of lower deferred contract revenue as of December 31, 2024 compared to December 31, 2023. During the same period, our long-term obligations did not change significantly.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contractual obligations, excluding our liability related to the sale of future royalties, as of December 31, 2024. The table provides a breakdown of when obligations become due. We provide a more detailed description of the major components of our debt in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tbl>
      <w:tblPr>
        <w:tblW w:w="9008" w:type="dxa"/>
        <w:jc w:val="left"/>
        <w:tblInd w:w="0" w:type="dxa"/>
        <w:tblLayout w:type="fixed"/>
        <w:tblCellMar>
          <w:top w:w="0" w:type="dxa"/>
          <w:left w:w="0" w:type="dxa"/>
          <w:bottom w:w="0" w:type="dxa"/>
          <w:right w:w="0" w:type="dxa"/>
        </w:tblCellMar>
      </w:tblPr>
      <w:tblGrid>
        <w:gridCol w:w="4985"/>
        <w:gridCol w:w="60"/>
        <w:gridCol w:w="125"/>
        <w:gridCol w:w="635"/>
        <w:gridCol w:w="60"/>
        <w:gridCol w:w="60"/>
        <w:gridCol w:w="346"/>
        <w:gridCol w:w="1053"/>
        <w:gridCol w:w="60"/>
        <w:gridCol w:w="60"/>
        <w:gridCol w:w="245"/>
        <w:gridCol w:w="1244"/>
        <w:gridCol w:w="75"/>
      </w:tblGrid>
      <w:tr>
        <w:trPr/>
        <w:tc>
          <w:tcPr>
            <w:tcW w:w="498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Contractual Obligations</w:t>
            </w:r>
          </w:p>
        </w:tc>
        <w:tc>
          <w:tcPr>
            <w:tcW w:w="60" w:type="dxa"/>
            <w:tcBorders/>
            <w:vAlign w:val="bottom"/>
          </w:tcPr>
          <w:p>
            <w:pPr>
              <w:pStyle w:val="TableContents"/>
              <w:bidi w:val="0"/>
              <w:spacing w:before="0" w:after="283"/>
              <w:jc w:val="left"/>
              <w:rPr/>
            </w:pPr>
            <w:r>
              <w:rPr/>
              <w:t> </w:t>
            </w:r>
          </w:p>
        </w:tc>
        <w:tc>
          <w:tcPr>
            <w:tcW w:w="3888"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Payments Due by Period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 millions)</w:t>
            </w:r>
          </w:p>
        </w:tc>
        <w:tc>
          <w:tcPr>
            <w:tcW w:w="7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(selected balances described below)</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Less than 1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More than 1 year</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1.75% Notes (principal and interest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600.2</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0% Notes (principal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239.4</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Building mortgage payments (principal and interest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w:t>
            </w:r>
          </w:p>
        </w:tc>
        <w:tc>
          <w:tcPr>
            <w:tcW w:w="7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Other obligations (principal and interest payable)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4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w:t>
            </w:r>
          </w:p>
        </w:tc>
        <w:tc>
          <w:tcPr>
            <w:tcW w:w="7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4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1,481.8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contractual obligations consist primarily of our convertible debt. In addition, we also have a facility mortgage, facility leases, equipment financing arrangements and other obligations. We believe our cash, cash equivalents and short-term investments, as well as plans for cash in the future, will be sufficient to fund our planned operations and these obligations. We have not entered into, nor do we currently have, any off-balance sheet arrangements (as defined under SEC rules).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Convertible Debt and Call Spread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our Convertible Debt and Call Spread accounting policies in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xml:space="preserve">, and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the significant terms of each convertible debt instrument.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Operating Facilities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our operating facilities.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Operating Leases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our operating leases.</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Royalty Revenue Monetization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2023, we entered into a royalty purchase agreement with Royalty Pharma to monetize a portion of our future SPINRAZA and pelacarsen royalties we are entitled to under our agreements with Biogen and Novartis, respectively. Refer to Part IV, Item 15,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in the Notes to the Consolidated Financial Statements for further details on this agreement.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Other Obligations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contractual obligations, we had outstanding purchase orders as of December 31, 2024 for the purchase of services, capital equipment and materials as part of our normal course of business.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may enter into additional collaborations with partners which could provide for additional revenue to us and we may incur additional cash expenditures related to our obligations under any of the new agreements we may enter into. We currently intend to use our cash, cash equivalents and short-term investments to finance our activities. However, we may also pursue other financing alternatives, like issuing additional shares of our common stock, issuing debt instruments, refinancing our existing debt, securing lines of credit or executing royalty monetization agreements. Whether we use our existing capital resources or choose to obtain financing will depend on various factors, including the future success of our business, the prevailing interest rate environment and the condition of financial markets generally.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Critical Accounting Estimates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prepare our consolidated financial statements in conformity with accounting principles generally accepted in the U.S. As such, we make certain estimates, judgments and assumptions that we believe are reasonable, based upon the information available to us. These judgments involve making estimates about the effect of matters that are inherently uncertain and may significantly impact our quarterly or annual results of operations and financial condition. Each quarter, our senior management reviews the development, selection and disclosure of such estimates with the audit committee of our board of directors. In the following paragraphs, we describe the specific risks associated with these critical accounting estimates and we caution that future events rarely develop exactly as one may expect, and that best estimates may require adjustment. Our significant accounting policies are outlined in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our significant accounting estimates, which we believe are the most critical to aid in fully understanding and evaluating our reported financial results:</w:t>
      </w:r>
    </w:p>
    <w:p>
      <w:pPr>
        <w:pStyle w:val="TextBody"/>
        <w:bidi w:val="0"/>
        <w:spacing w:before="0" w:after="0"/>
        <w:jc w:val="left"/>
        <w:rPr/>
      </w:pPr>
      <w:r>
        <w:rPr/>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Assessing the propriety of revenue recognition and associated deferred revenue;</w:t>
            </w:r>
          </w:p>
        </w:tc>
      </w:tr>
    </w:tbl>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Determining the appropriate cost estimates for unbilled preclinical studies and clinical development activities; and</w:t>
            </w:r>
          </w:p>
        </w:tc>
      </w:tr>
    </w:tbl>
    <w:tbl>
      <w:tblPr>
        <w:tblW w:w="9288" w:type="dxa"/>
        <w:jc w:val="left"/>
        <w:tblInd w:w="0" w:type="dxa"/>
        <w:tblLayout w:type="fixed"/>
        <w:tblCellMar>
          <w:top w:w="0" w:type="dxa"/>
          <w:left w:w="0" w:type="dxa"/>
          <w:bottom w:w="0" w:type="dxa"/>
          <w:right w:w="0" w:type="dxa"/>
        </w:tblCellMar>
      </w:tblPr>
      <w:tblGrid>
        <w:gridCol w:w="38"/>
        <w:gridCol w:w="17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Assessing the appropriate estimate of anticipated future royalty payments under our royalty purchase agreement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descriptions of our critical accounting estimates.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Revenue Recognition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earn revenue from several sources. The judgements and estimates we make vary between each source of our revenue. At contract inception, we analyze our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or ASC, Topic 808, </w:t>
      </w:r>
      <w:r>
        <w:rPr>
          <w:rFonts w:ascii="Times New Roman;Times;serif" w:hAnsi="Times New Roman;Times;serif"/>
          <w:i/>
          <w:color w:val="000000"/>
          <w:sz w:val="20"/>
        </w:rPr>
        <w:t>Collaborative Arrangements</w:t>
      </w:r>
      <w:r>
        <w:rPr>
          <w:rFonts w:ascii="Times New Roman;Times;serif" w:hAnsi="Times New Roman;Times;serif"/>
          <w:color w:val="000000"/>
          <w:sz w:val="20"/>
        </w:rPr>
        <w:t xml:space="preserve">, or ASC 808. For collaboration arrangements within the scope of ASC 808 that contain multiple elements, we first determine which elements of the collaboration reflect a vendor-customer relationship and are therefore within the scope of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When we determine elements of a collaboration do not reflect a vendor-customer relationship, we consistently apply the reasonable and rational policy election we made by analogizing to authoritative accounting literature.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the critical accounting estimates we make with respect to our revenue.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Research and development revenue under collaborative agreements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R&amp;D revenue from numerous collaboration agreements. Our collaboration agreements typically contain multiple elements, or performance obligations, including technology licenses or options to obtain technology licenses, R&amp;D services, and manufacturing services. Upon entering into a collaboration agreement, we are required to make the following judgements:</w:t>
      </w:r>
    </w:p>
    <w:p>
      <w:pPr>
        <w:pStyle w:val="TextBody"/>
        <w:bidi w:val="0"/>
        <w:spacing w:before="0" w:after="0"/>
        <w:jc w:val="left"/>
        <w:rPr/>
      </w:pPr>
      <w:r>
        <w:rPr/>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Identifying the performance obligations contained in the agreement</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Our assessment of what constitutes a separate performance obligation requires us to apply judgement. Specifically, we have to identify which goods and services we are required to provide under the contract are distinct.</w:t>
      </w:r>
    </w:p>
    <w:p>
      <w:pPr>
        <w:pStyle w:val="TextBody"/>
        <w:bidi w:val="0"/>
        <w:spacing w:before="0" w:after="0"/>
        <w:jc w:val="left"/>
        <w:rPr/>
      </w:pPr>
      <w:r>
        <w:rPr/>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Determining the transaction price, including any variable consideration</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To determine the transaction price, we review the amount of consideration we are eligible to earn under the agreement. We do not typically include any payments we may receive in the future in our initial transaction price since the payments are typically not probable because they are contingent upon certain future events. We reassess the total transaction price at each reporting period to determine if we should include additional payments in the transaction price that have become probable.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5988" w:type="dxa"/>
        <w:jc w:val="left"/>
        <w:tblInd w:w="0" w:type="dxa"/>
        <w:tblLayout w:type="fixed"/>
        <w:tblCellMar>
          <w:top w:w="0" w:type="dxa"/>
          <w:left w:w="0" w:type="dxa"/>
          <w:bottom w:w="0" w:type="dxa"/>
          <w:right w:w="0" w:type="dxa"/>
        </w:tblCellMar>
      </w:tblPr>
      <w:tblGrid>
        <w:gridCol w:w="38"/>
        <w:gridCol w:w="17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Allocating the transaction price to each of our performance obligations</w:t>
            </w:r>
          </w:p>
        </w:tc>
      </w:tr>
    </w:tbl>
    <w:p>
      <w:pPr>
        <w:pStyle w:val="TextBody"/>
        <w:bidi w:val="0"/>
        <w:spacing w:before="0" w:after="0"/>
        <w:jc w:val="left"/>
        <w:rPr/>
      </w:pPr>
      <w:r>
        <w:rPr/>
      </w:r>
    </w:p>
    <w:p>
      <w:pPr>
        <w:pStyle w:val="TextBody"/>
        <w:bidi w:val="0"/>
        <w:spacing w:before="0" w:after="0"/>
        <w:ind w:left="1080" w:right="0" w:hanging="0"/>
        <w:jc w:val="both"/>
        <w:rPr>
          <w:rFonts w:ascii="Times New Roman;Times;serif" w:hAnsi="Times New Roman;Times;serif"/>
          <w:color w:val="000000"/>
          <w:sz w:val="20"/>
        </w:rPr>
      </w:pPr>
      <w:r>
        <w:rPr>
          <w:rFonts w:ascii="Times New Roman;Times;serif" w:hAnsi="Times New Roman;Times;serif"/>
          <w:color w:val="000000"/>
          <w:sz w:val="20"/>
        </w:rPr>
        <w:t>When we allocate the transaction price to more than one performance obligation, we make estimates of the relative stand-alone selling price of each performance obligation because we do not typically sell our goods or services on a stand-alone basis. The estimate of the relative stand-alone selling price requires us in some cases to make significant judgements. For example, when we deliver a license at the start of an agreement, we use valuation methodologies, such as the relief from royalty method, to value the license. Under this method we are required to make estimates including future sales, royalties on future product sales, contractual milestones, expenses, income taxes and discount rates. Additionally, when we estimate the selling price for R&amp;D services, we make estimates, including: the number of internal hours we will spend on the services, the cost of work we and third parties will perform and the cost of clinical trial material we will use.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R&amp;D revenue we recognize each period is comprised of several types of revenue, including amortization from upfront payments, milestone payments, license fees and other services that we recognize immediately or amortize over the period in which we satisfy our performance obligation. Each of these types of revenue require us to make various judgements and estimates.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R&amp;D Services with Upfront Payments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revenue from the amortization of upfront payments as we perform R&amp;D services. We use an input method to estimate the amount of revenue to recognize each period. This method requires us to make estimates of the total costs we expect to incur to complete our R&amp;D services performance obligation or the total amount of effort it will take us to complete our R&amp;D services performance obligation. If we change our estimates, we may have to adjust our revenue.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Milestone Payments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When recognizing revenue related to milestone payments, we typically make the following judgements and estimates: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a milestone payment is probable (discussed in detail above under “Determining the transaction price, including any variable consideration”);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we are performing services, we recognize revenue over our estimated period of performance in a similar manner to the amortization of upfront payments (discussed above under “R&amp;D Services with Upfront Payments”).</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License Fees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When we grant a license for a medicine in clinical development, we generally recognize as R&amp;D revenue the total amount we determine to be the relative stand-alone selling price of a license when we deliver the license to our partner. Refer to Part IV, Item 15,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in the Notes to the Consolidated Financial Statements for our revenue recognition policy. We discuss the estimates we make related to the relative stand-alone selling price of a license in detail above under “Allocating the transaction price to each of our performance obligations.”</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b/>
          <w:i/>
          <w:color w:val="000000"/>
          <w:sz w:val="20"/>
        </w:rPr>
      </w:pPr>
      <w:r>
        <w:rPr>
          <w:rFonts w:ascii="Times New Roman;Times;serif" w:hAnsi="Times New Roman;Times;serif"/>
          <w:b/>
          <w:i/>
          <w:color w:val="000000"/>
          <w:sz w:val="20"/>
        </w:rPr>
        <w:t>Estimated Liability for Clinical Development Costs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numerous medicines in preclinical studies and/or clinical trials at clinical sites throughout the world. On at least a quarterly basis, we estimate our liability for preclinical and clinical development costs we have incurred and services that we have received but for which we have not yet been billed and maintain an accrual to cover these costs. These costs primarily relate to third-party clinical management costs, laboratory and analysis costs, toxicology studies and investigator grants. We estimate our liability using assumptions about study and patient activities and the related expected expenses for those activities determined based on the contracted fees with our service providers. The assumptions we use represent our best estimates of the activity and expenses at the time of our accrual and involve inherent uncertainties and the application of our judgment. Upon settlement, these costs may differ materially from the amounts accrued in our consolidated financial statements. Our historical accrual estimates have not been materially different from our actual amounts.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2024, a hypothetical 10 percent increase in our liability for preclinical and clinical development costs would have resulted in an increase in our loss before income tax benefit and accrued liabilities of approximately $7.7 million.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Liability Related to Sale of Future Royalties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entered into a royalty purchase agreement with Royalty Pharma to monetize a portion of our future SPINRAZA and pelacarsen royalties we are entitled to under our agreements with Biogen and Novartis, respectively. Under our agreement with Royalty Pharma, we calculate the liability related to the sale of future royalties, effective interest rate and the related interest expense using our current estimate of anticipated future royalty payments under the arrangement, which we periodically reassess based on internal projections and information from our partners who are responsible for commercializing the medicines. The amount that Royalty Pharma will receive under the agreement is based on sales of SPINRAZA, our currently commercialized medicine, and pelacarsen, a product candidate that is not currently commercialized. As such, the repayment amounts that we estimate related to projections of future pelacarsen revenues contain more subjective estimation which we believe could lead to larger changes in estimates in the future. If there is a material change in our estimate, we will prospectively adjust the effective interest rate and the related interest expense.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numerous factors, most of which are not within our control, that could materially impact the amount and timing of future royalty payments, particularly those from Novartis for pelacarsen, and could result in changes to our estimate of future royalty payments to Royalty Pharma. Such factors include, but are not limited to, the regulatory approval and commercial sales of pelacarsen, competing products or other significant events. These factors and other events or circumstances could result in reduced royalty payments from sales of pelacarsen, which would result in a reduction of our non-cash royalty revenue and non-cash interest expense over the life of the agreement. Conversely, if sales of pelacarsen are more than amounts we estimated, the non-cash royalty revenue and non-cash interest expense we record would be greater over the life of the arrangement.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0" w:name="Item7A"/>
      <w:bookmarkEnd w:id="20"/>
      <w:r>
        <w:rPr>
          <w:rFonts w:ascii="Times New Roman;Times;serif" w:hAnsi="Times New Roman;Times;serif"/>
          <w:b/>
          <w:color w:val="000000"/>
          <w:sz w:val="20"/>
        </w:rPr>
        <w:t>Item 7A. Quantitative and Qualitative Disclosures About Market Risk</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exposed to changes in interest rates primarily from our investments in certain short-term investments. We primarily invest our excess cash in highly liquid short-term investments of the U.S. Treasury and reputable financial institutions, corporations, and U.S. government agencies with strong credit ratings. We typically hold our investments for the duration of the term of the respective instrument. We do not utilize derivative financial instruments, derivative commodity instruments or other market risk sensitive instruments, positions or transactions to manage exposure to interest rate changes. Accordingly, we believe that, while the securities we hold are subject to changes in the financial standing of the issuer of such securities, we were not subject to any material risks arising from changes in interest rates, foreign currency exchange rates, commodity prices, equity prices or other market changes that affect market risk sensitive instruments as of December 31, 2024 and will not be subject to any material risks arising from these changes in the foreseeable future.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1" w:name="Item8"/>
      <w:bookmarkEnd w:id="21"/>
      <w:r>
        <w:rPr>
          <w:rFonts w:ascii="Times New Roman;Times;serif" w:hAnsi="Times New Roman;Times;serif"/>
          <w:b/>
          <w:color w:val="000000"/>
          <w:sz w:val="20"/>
        </w:rPr>
        <w:t>Item 8. Financial Statements and Supplementary Data</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filed our consolidated financial statements and supplementary data required by this item as exhibits hereto, and listed them under Item 15(a)(1) and (2), and incorporate them herein by reference.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9</w:t>
      </w:r>
      <w:bookmarkStart w:id="22" w:name="Item9"/>
      <w:bookmarkEnd w:id="22"/>
      <w:r>
        <w:rPr>
          <w:rFonts w:ascii="Times New Roman;Times;serif" w:hAnsi="Times New Roman;Times;serif"/>
          <w:b/>
          <w:color w:val="000000"/>
          <w:sz w:val="20"/>
        </w:rPr>
        <w:t>. Changes in and Disagreements with Accountants on Accounting and Financial Disclosure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None.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3" w:name="Item9A"/>
      <w:bookmarkEnd w:id="23"/>
      <w:r>
        <w:rPr>
          <w:rFonts w:ascii="Times New Roman;Times;serif" w:hAnsi="Times New Roman;Times;serif"/>
          <w:b/>
          <w:color w:val="000000"/>
          <w:sz w:val="20"/>
        </w:rPr>
        <w:t>Item 9A. Controls and Procedures</w:t>
      </w:r>
    </w:p>
    <w:p>
      <w:pPr>
        <w:pStyle w:val="TextBody"/>
        <w:bidi w:val="0"/>
        <w:spacing w:before="0" w:after="0"/>
        <w:jc w:val="left"/>
        <w:rPr/>
      </w:pPr>
      <w:r>
        <w:rPr/>
      </w:r>
    </w:p>
    <w:p>
      <w:pPr>
        <w:pStyle w:val="TextBody"/>
        <w:bidi w:val="0"/>
        <w:spacing w:before="0" w:after="0"/>
        <w:ind w:left="1080" w:right="0" w:hanging="360"/>
        <w:jc w:val="left"/>
        <w:rPr>
          <w:rFonts w:ascii="Times New Roman;Times;serif" w:hAnsi="Times New Roman;Times;serif"/>
          <w:b/>
          <w:color w:val="000000"/>
          <w:sz w:val="20"/>
        </w:rPr>
      </w:pPr>
      <w:r>
        <w:rPr>
          <w:rFonts w:ascii="Times New Roman;Times;serif" w:hAnsi="Times New Roman;Times;serif"/>
          <w:b/>
          <w:color w:val="000000"/>
          <w:sz w:val="20"/>
        </w:rPr>
        <w:t>Disclosure Controls and Procedures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maintain disclosure controls and procedures (as defined in Rules 13a-15(e) and 15d-15(e) under the Securities Exchange Act of 1934, as amended, or Exchange Act) that are designed to ensure that information we are required to disclose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We designed and evaluated our disclosure controls and procedures recognizing that any controls and procedures, no matter how well designed and operated, can provide only reasonable assurance and not absolute assurance of achieving the desired control objectives.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the end of the period covered by this report on Form 10-K, we carried out an evaluation of our disclosure controls and procedures under the supervision of, and with the participation of our management, including our Chief Executive Officer and Chief Financial Officer. Based on our evaluation, our Chief Executive Officer and Chief Financial Officer concluded that our disclosure controls and procedures were effective as of December 31, 2024.</w:t>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color w:val="000000"/>
          <w:sz w:val="20"/>
        </w:rPr>
      </w:pPr>
      <w:r>
        <w:rPr>
          <w:rFonts w:ascii="Times New Roman;Times;serif" w:hAnsi="Times New Roman;Times;serif"/>
          <w:b/>
          <w:color w:val="000000"/>
          <w:sz w:val="20"/>
        </w:rPr>
        <w:t>Management</w:t>
      </w:r>
      <w:r>
        <w:rPr>
          <w:rFonts w:ascii="Times New Roman;Times;serif" w:hAnsi="Times New Roman;Times;serif"/>
          <w:color w:val="000000"/>
          <w:sz w:val="20"/>
        </w:rPr>
        <w:t>’</w:t>
      </w:r>
      <w:r>
        <w:rPr>
          <w:rFonts w:ascii="Times New Roman;Times;serif" w:hAnsi="Times New Roman;Times;serif"/>
          <w:b/>
          <w:color w:val="000000"/>
          <w:sz w:val="20"/>
        </w:rPr>
        <w:t>s Report on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management is responsible for establishing and maintaining adequate internal control over financial reporting, as defined in Exchange Act Rules 13a-15(f). Our internal control over financial reporting is a process designed under the supervision of our Chief Executive Officer and Chief Financial Officer to provide reasonable assurance regarding the reliability of financial reporting and the preparation of our financial statements for external purposes in accordance with U.S. generally accepted accounting principles.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2024, we assessed the effectiveness of our internal control over financial reporting based on the criteria for effective internal control over financial reporting under the 2013 “Internal Control—Integrated Framework,” issued by the Committee of Sponsoring Organizations, or COSO, of the Treadway Commission, under the supervision of, and with the participation of our management, including our Chief Executive Officer and Chief Financial Officer. Based on that assessment, our management concluded that we maintained effective internal control over financial reporting as of December 31, 2024.</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Ernst &amp; Young LLP, an independent registered public accounting firm, audited the effectiveness of our internal control over financial reporting as of December 31, 2024, as stated in their attestation report, which is included elsewhere herein.</w:t>
      </w:r>
    </w:p>
    <w:p>
      <w:pPr>
        <w:pStyle w:val="TextBody"/>
        <w:bidi w:val="0"/>
        <w:spacing w:before="0" w:after="0"/>
        <w:jc w:val="left"/>
        <w:rPr/>
      </w:pPr>
      <w:r>
        <w:rPr/>
      </w:r>
    </w:p>
    <w:p>
      <w:pPr>
        <w:pStyle w:val="TextBody"/>
        <w:bidi w:val="0"/>
        <w:spacing w:before="0" w:after="0"/>
        <w:ind w:left="1080" w:right="0" w:hanging="360"/>
        <w:jc w:val="left"/>
        <w:rPr>
          <w:rFonts w:ascii="Times New Roman;Times;serif" w:hAnsi="Times New Roman;Times;serif"/>
          <w:b/>
          <w:color w:val="000000"/>
          <w:sz w:val="20"/>
        </w:rPr>
      </w:pPr>
      <w:r>
        <w:rPr>
          <w:rFonts w:ascii="Times New Roman;Times;serif" w:hAnsi="Times New Roman;Times;serif"/>
          <w:b/>
          <w:color w:val="000000"/>
          <w:sz w:val="20"/>
        </w:rPr>
        <w:t>Changes in Internal Control over Financial Reporting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above assessment did not identify any change in our internal control over financial reporting that occurred during our latest fiscal quarter and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the Stockholders and the Board of Directors of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Opinion on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audited Ionis Pharmaceuticals, Inc.’s internal control over financial reporting as of December 31, 2024, based on criteria established in Internal Control—Integrated Framework issued by the Committee of Sponsoring Organizations of the Treadway Commission (2013 framework) (the COSO criteria). In our opinion, Ionis Pharmaceuticals, Inc. (the Company) maintained, in all material respects, effective internal control over financial reporting as of December 31, 2024, based on the COSO criteria.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our report dated February 19, 2025 expressed an unqualified opinion thereon.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Diego,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19, 2025</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bookmarkStart w:id="24" w:name="Item9B"/>
      <w:bookmarkEnd w:id="24"/>
      <w:r>
        <w:rPr>
          <w:rFonts w:ascii="Times New Roman;Times;serif" w:hAnsi="Times New Roman;Times;serif"/>
          <w:b/>
          <w:color w:val="000000"/>
          <w:sz w:val="20"/>
        </w:rPr>
        <w:t>Item 9B. Other Information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Trading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quarter ended December 31, 2024, our directors and officers (as defined in Rule 16a-1(f) under the Exchange Act), or Section 16 officers and directors, adopted or terminated contracts, instructions or written plans for the purchase or sale of our securities as noted in the table below.</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Contract, instruction or written plan intended to satisfy the affirmative defense conditions of Rule 10b5-1(c) under the Exchange Act.</w:t>
            </w:r>
          </w:p>
        </w:tc>
      </w:tr>
    </w:tbl>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45" w:type="dxa"/>
            <w:tcBorders/>
            <w:vAlign w:val="center"/>
          </w:tcPr>
          <w:p>
            <w:pPr>
              <w:pStyle w:val="TableContents"/>
              <w:bidi w:val="0"/>
              <w:spacing w:before="0" w:after="0"/>
              <w:jc w:val="both"/>
              <w:rPr/>
            </w:pPr>
            <w:r>
              <w:rPr/>
              <w:t>“</w:t>
            </w:r>
            <w:r>
              <w:rPr>
                <w:rFonts w:ascii="Times New Roman;Times;serif" w:hAnsi="Times New Roman;Times;serif"/>
                <w:sz w:val="20"/>
              </w:rPr>
              <w:t>Non-Rule 10b5-1 trading arrangement” as defined in item 408(c) of Regulation S-K under the Exchange Act.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67"/>
        <w:gridCol w:w="60"/>
        <w:gridCol w:w="800"/>
        <w:gridCol w:w="60"/>
        <w:gridCol w:w="1518"/>
        <w:gridCol w:w="60"/>
        <w:gridCol w:w="1080"/>
        <w:gridCol w:w="60"/>
        <w:gridCol w:w="1570"/>
        <w:gridCol w:w="60"/>
        <w:gridCol w:w="1059"/>
        <w:gridCol w:w="60"/>
        <w:gridCol w:w="1451"/>
      </w:tblGrid>
      <w:tr>
        <w:trPr/>
        <w:tc>
          <w:tcPr>
            <w:tcW w:w="2367" w:type="dxa"/>
            <w:vMerge w:val="restart"/>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00"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Action</w:t>
            </w:r>
          </w:p>
        </w:tc>
        <w:tc>
          <w:tcPr>
            <w:tcW w:w="60" w:type="dxa"/>
            <w:vMerge w:val="restart"/>
            <w:tcBorders/>
            <w:vAlign w:val="center"/>
          </w:tcPr>
          <w:p>
            <w:pPr>
              <w:pStyle w:val="TableContents"/>
              <w:bidi w:val="0"/>
              <w:spacing w:before="0" w:after="283"/>
              <w:jc w:val="left"/>
              <w:rPr/>
            </w:pPr>
            <w:r>
              <w:rPr/>
              <w:t> </w:t>
            </w:r>
          </w:p>
        </w:tc>
        <w:tc>
          <w:tcPr>
            <w:tcW w:w="1518"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Date</w:t>
            </w:r>
          </w:p>
        </w:tc>
        <w:tc>
          <w:tcPr>
            <w:tcW w:w="60" w:type="dxa"/>
            <w:vMerge w:val="restart"/>
            <w:tcBorders/>
            <w:vAlign w:val="center"/>
          </w:tcPr>
          <w:p>
            <w:pPr>
              <w:pStyle w:val="TableContents"/>
              <w:bidi w:val="0"/>
              <w:spacing w:before="0" w:after="283"/>
              <w:jc w:val="left"/>
              <w:rPr/>
            </w:pPr>
            <w:r>
              <w:rPr/>
              <w:t> </w:t>
            </w:r>
          </w:p>
        </w:tc>
        <w:tc>
          <w:tcPr>
            <w:tcW w:w="2710" w:type="dxa"/>
            <w:gridSpan w:val="3"/>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Trading Arrangement</w:t>
            </w:r>
          </w:p>
        </w:tc>
        <w:tc>
          <w:tcPr>
            <w:tcW w:w="60" w:type="dxa"/>
            <w:vMerge w:val="restart"/>
            <w:tcBorders/>
            <w:vAlign w:val="center"/>
          </w:tcPr>
          <w:p>
            <w:pPr>
              <w:pStyle w:val="TableContents"/>
              <w:bidi w:val="0"/>
              <w:spacing w:before="0" w:after="283"/>
              <w:jc w:val="left"/>
              <w:rPr/>
            </w:pPr>
            <w:r>
              <w:rPr/>
              <w:t> </w:t>
            </w:r>
          </w:p>
        </w:tc>
        <w:tc>
          <w:tcPr>
            <w:tcW w:w="1059"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Shares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 be Sold</w:t>
            </w:r>
          </w:p>
        </w:tc>
        <w:tc>
          <w:tcPr>
            <w:tcW w:w="60" w:type="dxa"/>
            <w:vMerge w:val="restart"/>
            <w:tcBorders/>
            <w:vAlign w:val="center"/>
          </w:tcPr>
          <w:p>
            <w:pPr>
              <w:pStyle w:val="TableContents"/>
              <w:bidi w:val="0"/>
              <w:spacing w:before="0" w:after="283"/>
              <w:jc w:val="left"/>
              <w:rPr/>
            </w:pPr>
            <w:r>
              <w:rPr/>
              <w:t> </w:t>
            </w:r>
          </w:p>
        </w:tc>
        <w:tc>
          <w:tcPr>
            <w:tcW w:w="1451" w:type="dxa"/>
            <w:vMerge w:val="restart"/>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Expiration Date</w:t>
            </w:r>
          </w:p>
        </w:tc>
      </w:tr>
      <w:tr>
        <w:trPr/>
        <w:tc>
          <w:tcPr>
            <w:tcW w:w="2367"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00"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518"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8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Rule 10b5-1*</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570" w:type="dxa"/>
            <w:tcBorders>
              <w:top w:val="single" w:sz="12" w:space="0" w:color="000000"/>
              <w:bottom w:val="single" w:sz="12" w:space="0" w:color="000000"/>
            </w:tcBorders>
            <w:tcMar>
              <w:top w:w="28" w:type="dxa"/>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Non-Rule 10b5-1**</w:t>
            </w:r>
          </w:p>
        </w:tc>
        <w:tc>
          <w:tcPr>
            <w:tcW w:w="60" w:type="dxa"/>
            <w:vMerge w:val="continue"/>
            <w:tcBorders/>
            <w:vAlign w:val="center"/>
          </w:tcPr>
          <w:p>
            <w:pPr>
              <w:pStyle w:val="Normal"/>
              <w:bidi w:val="0"/>
              <w:jc w:val="left"/>
              <w:rPr/>
            </w:pPr>
            <w:r>
              <w:rPr/>
            </w:r>
          </w:p>
        </w:tc>
        <w:tc>
          <w:tcPr>
            <w:tcW w:w="1059" w:type="dxa"/>
            <w:vMerge w:val="continue"/>
            <w:tcBorders>
              <w:bottom w:val="single" w:sz="12"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51" w:type="dxa"/>
            <w:vMerge w:val="continue"/>
            <w:tcBorders>
              <w:bottom w:val="single" w:sz="12" w:space="0" w:color="000000"/>
            </w:tcBorders>
            <w:tcMar>
              <w:bottom w:w="28" w:type="dxa"/>
            </w:tcMar>
            <w:vAlign w:val="center"/>
          </w:tcPr>
          <w:p>
            <w:pPr>
              <w:pStyle w:val="Normal"/>
              <w:bidi w:val="0"/>
              <w:jc w:val="left"/>
              <w:rPr/>
            </w:pPr>
            <w:r>
              <w:rPr/>
            </w:r>
          </w:p>
        </w:tc>
      </w:tr>
      <w:tr>
        <w:trPr/>
        <w:tc>
          <w:tcPr>
            <w:tcW w:w="2367"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Joseph Wender, Board Member</w:t>
            </w:r>
          </w:p>
        </w:tc>
        <w:tc>
          <w:tcPr>
            <w:tcW w:w="60" w:type="dxa"/>
            <w:tcBorders/>
            <w:shd w:fill="CCEEFF" w:val="clear"/>
            <w:vAlign w:val="center"/>
          </w:tcPr>
          <w:p>
            <w:pPr>
              <w:pStyle w:val="TableContents"/>
              <w:bidi w:val="0"/>
              <w:spacing w:before="0" w:after="283"/>
              <w:jc w:val="left"/>
              <w:rPr/>
            </w:pPr>
            <w:r>
              <w:rPr/>
              <w:t> </w:t>
            </w:r>
          </w:p>
        </w:tc>
        <w:tc>
          <w:tcPr>
            <w:tcW w:w="80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Adoption</w:t>
            </w:r>
          </w:p>
        </w:tc>
        <w:tc>
          <w:tcPr>
            <w:tcW w:w="60" w:type="dxa"/>
            <w:tcBorders/>
            <w:shd w:fill="CCEEFF" w:val="clear"/>
            <w:vAlign w:val="center"/>
          </w:tcPr>
          <w:p>
            <w:pPr>
              <w:pStyle w:val="TableContents"/>
              <w:bidi w:val="0"/>
              <w:spacing w:before="0" w:after="283"/>
              <w:jc w:val="left"/>
              <w:rPr/>
            </w:pPr>
            <w:r>
              <w:rPr/>
              <w:t> </w:t>
            </w:r>
          </w:p>
        </w:tc>
        <w:tc>
          <w:tcPr>
            <w:tcW w:w="1518"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December 26, 2024</w:t>
            </w:r>
          </w:p>
        </w:tc>
        <w:tc>
          <w:tcPr>
            <w:tcW w:w="60" w:type="dxa"/>
            <w:tcBorders/>
            <w:shd w:fill="CCEEFF" w:val="clear"/>
            <w:vAlign w:val="center"/>
          </w:tcPr>
          <w:p>
            <w:pPr>
              <w:pStyle w:val="TableContents"/>
              <w:bidi w:val="0"/>
              <w:spacing w:before="0" w:after="283"/>
              <w:jc w:val="left"/>
              <w:rPr/>
            </w:pPr>
            <w:r>
              <w:rPr/>
              <w:t> </w:t>
            </w:r>
          </w:p>
        </w:tc>
        <w:tc>
          <w:tcPr>
            <w:tcW w:w="108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X</w:t>
            </w:r>
          </w:p>
        </w:tc>
        <w:tc>
          <w:tcPr>
            <w:tcW w:w="60" w:type="dxa"/>
            <w:tcBorders/>
            <w:shd w:fill="CCEEFF" w:val="clear"/>
            <w:vAlign w:val="center"/>
          </w:tcPr>
          <w:p>
            <w:pPr>
              <w:pStyle w:val="TableContents"/>
              <w:bidi w:val="0"/>
              <w:spacing w:before="0" w:after="283"/>
              <w:jc w:val="left"/>
              <w:rPr/>
            </w:pPr>
            <w:r>
              <w:rPr/>
              <w:t> </w:t>
            </w:r>
          </w:p>
        </w:tc>
        <w:tc>
          <w:tcPr>
            <w:tcW w:w="1570" w:type="dxa"/>
            <w:tcBorders>
              <w:top w:val="single" w:sz="12" w:space="0" w:color="000000"/>
            </w:tcBorders>
            <w:shd w:fill="CCEEFF" w:val="clear"/>
            <w:tcMar>
              <w:top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9"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104,079</w:t>
            </w:r>
          </w:p>
        </w:tc>
        <w:tc>
          <w:tcPr>
            <w:tcW w:w="60" w:type="dxa"/>
            <w:tcBorders/>
            <w:shd w:fill="CCEEFF" w:val="clear"/>
            <w:vAlign w:val="center"/>
          </w:tcPr>
          <w:p>
            <w:pPr>
              <w:pStyle w:val="TableContents"/>
              <w:bidi w:val="0"/>
              <w:spacing w:before="0" w:after="283"/>
              <w:jc w:val="left"/>
              <w:rPr/>
            </w:pPr>
            <w:r>
              <w:rPr/>
              <w:t> </w:t>
            </w:r>
          </w:p>
        </w:tc>
        <w:tc>
          <w:tcPr>
            <w:tcW w:w="1451"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28, 2026</w:t>
            </w:r>
          </w:p>
        </w:tc>
      </w:tr>
    </w:tbl>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b/>
          <w:color w:val="000000"/>
          <w:sz w:val="20"/>
        </w:rPr>
      </w:pPr>
      <w:bookmarkStart w:id="25" w:name="Item9C"/>
      <w:bookmarkEnd w:id="25"/>
      <w:r>
        <w:rPr>
          <w:rFonts w:ascii="Times New Roman;Times;serif" w:hAnsi="Times New Roman;Time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Not applicable.</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26" w:name="PARTIII"/>
      <w:bookmarkEnd w:id="26"/>
      <w:r>
        <w:rPr>
          <w:rFonts w:ascii="Times New Roman;Times;serif" w:hAnsi="Times New Roman;Times;serif"/>
          <w:b/>
          <w:color w:val="000000"/>
          <w:sz w:val="20"/>
        </w:rPr>
        <w:t>PART III</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7" w:name="Item10"/>
      <w:bookmarkEnd w:id="27"/>
      <w:r>
        <w:rPr>
          <w:rFonts w:ascii="Times New Roman;Times;serif" w:hAnsi="Times New Roman;Times;serif"/>
          <w:b/>
          <w:color w:val="000000"/>
          <w:sz w:val="20"/>
        </w:rPr>
        <w:t>Item 10. Directors, Executive Officers and Corporate Governance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with respect to directors and the Audit Committee from the information under the caption “ELECTION OF DIRECTORS,” including in particular the information under “Nominating, Governance and Review Committee” and “Audit Committee,” contained in our definitive Proxy Statement, which we will file with the Securities and Exchange Commission within 120 days after the end of the fiscal year ended December 31, 2024, or the Proxy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include information concerning our executive officers in the section titled, </w:t>
      </w:r>
      <w:r>
        <w:rPr>
          <w:rFonts w:ascii="Times New Roman;Times;serif" w:hAnsi="Times New Roman;Times;serif"/>
          <w:i/>
          <w:color w:val="000000"/>
          <w:sz w:val="20"/>
        </w:rPr>
        <w:t>Information about our Executive Officers</w:t>
      </w:r>
      <w:r>
        <w:rPr>
          <w:rFonts w:ascii="Times New Roman;Times;serif" w:hAnsi="Times New Roman;Times;serif"/>
          <w:color w:val="000000"/>
          <w:sz w:val="20"/>
        </w:rPr>
        <w:t xml:space="preserve">, in this report on the Form 10-K in Part I, Item 1, </w:t>
      </w:r>
      <w:r>
        <w:rPr>
          <w:rFonts w:ascii="Times New Roman;Times;serif" w:hAnsi="Times New Roman;Times;serif"/>
          <w:i/>
          <w:color w:val="000000"/>
          <w:sz w:val="20"/>
        </w:rPr>
        <w:t>Business</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required information concerning our Code of Ethics from the information under the caption “Code of Ethics and Business Conduct” contained in the Proxy Statement. Our Code of Ethics and Business Conduct is posted on our website at www.ionispharma.com</w:t>
      </w:r>
      <w:r>
        <w:rPr>
          <w:rFonts w:ascii="Times New Roman;Times;serif" w:hAnsi="Times New Roman;Times;serif"/>
          <w:color w:val="000000"/>
          <w:position w:val="7"/>
          <w:sz w:val="16"/>
          <w:sz w:val="20"/>
        </w:rPr>
        <w:t>(1)</w:t>
      </w:r>
      <w:r>
        <w:rPr>
          <w:rFonts w:ascii="Times New Roman;Times;serif" w:hAnsi="Times New Roman;Times;serif"/>
          <w:color w:val="000000"/>
          <w:sz w:val="20"/>
        </w:rPr>
        <w:t>. We intend to make all required disclosures regarding any amendments to, or waivers from, provisions of our Code of Ethics and Business conduct on our website.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Company has adopted insider trading policies and procedures governing the purchase, sale and other dispositions of the Company’s securities by its directors, officers and employees that are reasonably designed to promote compliance with insider trading laws, rules and regulations, and any listing standards applicable to the Company. In addition, it is the Company’s practice to comply with both the letter and the spirit of applicable laws and regulations relating to insider trading.</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item 402(x) to the information under the caption “Policies and practices related to the grant of certain equity awards close in time to the release of material nonpublic information” contained in the Proxy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w:t>
      </w:r>
    </w:p>
    <w:tbl>
      <w:tblPr>
        <w:tblW w:w="7540" w:type="dxa"/>
        <w:jc w:val="left"/>
        <w:tblInd w:w="0" w:type="dxa"/>
        <w:tblLayout w:type="fixed"/>
        <w:tblCellMar>
          <w:top w:w="0" w:type="dxa"/>
          <w:left w:w="0" w:type="dxa"/>
          <w:bottom w:w="0" w:type="dxa"/>
          <w:right w:w="0" w:type="dxa"/>
        </w:tblCellMar>
      </w:tblPr>
      <w:tblGrid>
        <w:gridCol w:w="260"/>
        <w:gridCol w:w="7280"/>
      </w:tblGrid>
      <w:tr>
        <w:trPr/>
        <w:tc>
          <w:tcPr>
            <w:tcW w:w="2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72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information that is included on or linked to our website is not part of this Form 10-K.</w:t>
            </w:r>
          </w:p>
        </w:tc>
      </w:tr>
    </w:tbl>
    <w:p>
      <w:pPr>
        <w:pStyle w:val="TextBody"/>
        <w:bidi w:val="0"/>
        <w:spacing w:before="0" w:after="0"/>
        <w:jc w:val="left"/>
        <w:rPr/>
      </w:pPr>
      <w:r>
        <w:rPr/>
      </w:r>
    </w:p>
    <w:p>
      <w:pPr>
        <w:pStyle w:val="TextBody"/>
        <w:bidi w:val="0"/>
        <w:spacing w:before="0" w:after="0"/>
        <w:ind w:left="0" w:right="0" w:firstLine="360"/>
        <w:jc w:val="left"/>
        <w:rPr>
          <w:rFonts w:ascii="Times New Roman;Times;serif" w:hAnsi="Times New Roman;Times;serif"/>
          <w:i/>
          <w:color w:val="000000"/>
          <w:sz w:val="20"/>
        </w:rPr>
      </w:pPr>
      <w:r>
        <w:rPr>
          <w:rFonts w:ascii="Times New Roman;Times;serif" w:hAnsi="Times New Roman;Times;serif"/>
          <w:i/>
          <w:color w:val="000000"/>
          <w:sz w:val="20"/>
        </w:rPr>
        <w:t>Delinquent Section 16(a) Reports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Part I, Item 1, </w:t>
      </w:r>
      <w:r>
        <w:rPr>
          <w:rFonts w:ascii="Times New Roman;Times;serif" w:hAnsi="Times New Roman;Times;serif"/>
          <w:i/>
          <w:color w:val="000000"/>
          <w:sz w:val="20"/>
        </w:rPr>
        <w:t>Business</w:t>
      </w:r>
      <w:r>
        <w:rPr>
          <w:rFonts w:ascii="Times New Roman;Times;serif" w:hAnsi="Times New Roman;Times;serif"/>
          <w:color w:val="000000"/>
          <w:sz w:val="20"/>
        </w:rPr>
        <w:t>, of this Report contains information concerning our executive officers. We incorporate by reference the information required by this Item concerning compliance with Section 16(a) of the Exchange Act from the information under the caption “Delinquent Section 16(a) Reports” contained in the Proxy Statement.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Item 11</w:t>
      </w:r>
      <w:bookmarkStart w:id="28" w:name="Item11"/>
      <w:bookmarkEnd w:id="28"/>
      <w:r>
        <w:rPr>
          <w:rFonts w:ascii="Times New Roman;Times;serif" w:hAnsi="Times New Roman;Times;serif"/>
          <w:b/>
          <w:color w:val="000000"/>
          <w:sz w:val="20"/>
        </w:rPr>
        <w:t>. Executive Compensation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 “EXECUTIVE COMPENSATION,” “Compensation Committee Interlocks and Insider Participation” and “COMPENSATION COMMITTEE REPORT” contained in the Proxy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Item 402(x) of Regulation S-K to the information under the caption “Policies and practices related to the grant of certain equity awards close in time to the release of material nonpublic information” contained in the Proxy Statement.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bookmarkStart w:id="29" w:name="Item12"/>
      <w:bookmarkEnd w:id="29"/>
      <w:r>
        <w:rPr>
          <w:rFonts w:ascii="Times New Roman;Times;serif" w:hAnsi="Times New Roman;Time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captions “SECURITY OWNERSHIP OF CERTAIN BENEFICIAL OWNERS AND MANAGEMENT” contained in the Proxy Statement.</w:t>
      </w:r>
    </w:p>
    <w:p>
      <w:pPr>
        <w:pStyle w:val="TextBody"/>
        <w:bidi w:val="0"/>
        <w:spacing w:before="0" w:after="0"/>
        <w:jc w:val="left"/>
        <w:rPr/>
      </w:pPr>
      <w:r>
        <w:rPr/>
      </w:r>
    </w:p>
    <w:p>
      <w:pPr>
        <w:pStyle w:val="TextBody"/>
        <w:bidi w:val="0"/>
        <w:spacing w:before="0" w:after="0"/>
        <w:ind w:left="720" w:right="0" w:hanging="0"/>
        <w:jc w:val="left"/>
        <w:rPr>
          <w:rFonts w:ascii="Times New Roman;Times;serif" w:hAnsi="Times New Roman;Times;serif"/>
          <w:b/>
          <w:color w:val="000000"/>
          <w:sz w:val="20"/>
        </w:rPr>
      </w:pPr>
      <w:r>
        <w:rPr>
          <w:rFonts w:ascii="Times New Roman;Times;serif" w:hAnsi="Times New Roman;Times;serif"/>
          <w:b/>
          <w:color w:val="000000"/>
          <w:sz w:val="20"/>
        </w:rPr>
        <w:t>Securities Authorized for Issuance under Equity Compensation Plans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regarding outstanding options and shares reserved for future issuance under our equity compensation plans as of December 31,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346"/>
        <w:gridCol w:w="60"/>
        <w:gridCol w:w="1975"/>
        <w:gridCol w:w="60"/>
        <w:gridCol w:w="347"/>
        <w:gridCol w:w="1352"/>
        <w:gridCol w:w="60"/>
        <w:gridCol w:w="1747"/>
        <w:gridCol w:w="258"/>
      </w:tblGrid>
      <w:tr>
        <w:trPr/>
        <w:tc>
          <w:tcPr>
            <w:tcW w:w="4346" w:type="dxa"/>
            <w:tcBorders>
              <w:bottom w:val="single" w:sz="12" w:space="0" w:color="000000"/>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Plan Category</w:t>
            </w:r>
          </w:p>
        </w:tc>
        <w:tc>
          <w:tcPr>
            <w:tcW w:w="60" w:type="dxa"/>
            <w:tcBorders/>
            <w:tcMar>
              <w:bottom w:w="0" w:type="dxa"/>
            </w:tcMar>
            <w:vAlign w:val="center"/>
          </w:tcPr>
          <w:p>
            <w:pPr>
              <w:pStyle w:val="TableContents"/>
              <w:bidi w:val="0"/>
              <w:spacing w:before="0" w:after="283"/>
              <w:jc w:val="left"/>
              <w:rPr/>
            </w:pPr>
            <w:r>
              <w:rPr/>
              <w:t> </w:t>
            </w:r>
          </w:p>
        </w:tc>
        <w:tc>
          <w:tcPr>
            <w:tcW w:w="1975"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 Shares to</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be Issued Upon Exercise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Outstanding Options</w:t>
            </w:r>
          </w:p>
        </w:tc>
        <w:tc>
          <w:tcPr>
            <w:tcW w:w="60" w:type="dxa"/>
            <w:tcBorders/>
            <w:tcMar>
              <w:bottom w:w="0" w:type="dxa"/>
            </w:tcMar>
            <w:vAlign w:val="center"/>
          </w:tcPr>
          <w:p>
            <w:pPr>
              <w:pStyle w:val="TableContents"/>
              <w:bidi w:val="0"/>
              <w:spacing w:before="0" w:after="283"/>
              <w:jc w:val="left"/>
              <w:rPr/>
            </w:pPr>
            <w:r>
              <w:rPr/>
              <w:t> </w:t>
            </w:r>
          </w:p>
        </w:tc>
        <w:tc>
          <w:tcPr>
            <w:tcW w:w="169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Exercise Price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Outstanding Options</w:t>
            </w:r>
          </w:p>
        </w:tc>
        <w:tc>
          <w:tcPr>
            <w:tcW w:w="60" w:type="dxa"/>
            <w:tcBorders/>
            <w:tcMar>
              <w:bottom w:w="0" w:type="dxa"/>
            </w:tcMar>
            <w:vAlign w:val="center"/>
          </w:tcPr>
          <w:p>
            <w:pPr>
              <w:pStyle w:val="TableContents"/>
              <w:bidi w:val="0"/>
              <w:spacing w:before="0" w:after="283"/>
              <w:jc w:val="left"/>
              <w:rPr/>
            </w:pPr>
            <w:r>
              <w:rPr/>
              <w:t> </w:t>
            </w:r>
          </w:p>
        </w:tc>
        <w:tc>
          <w:tcPr>
            <w:tcW w:w="1747"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 Shares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Remaining Available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for Future Issuance</w:t>
            </w:r>
          </w:p>
        </w:tc>
        <w:tc>
          <w:tcPr>
            <w:tcW w:w="258" w:type="dxa"/>
            <w:tcBorders/>
            <w:tcMar>
              <w:bottom w:w="0" w:type="dxa"/>
            </w:tcMar>
            <w:vAlign w:val="center"/>
          </w:tcPr>
          <w:p>
            <w:pPr>
              <w:pStyle w:val="TableContents"/>
              <w:bidi w:val="0"/>
              <w:spacing w:before="0" w:after="283"/>
              <w:jc w:val="left"/>
              <w:rPr/>
            </w:pPr>
            <w:r>
              <w:rPr/>
              <w:t> </w:t>
            </w:r>
          </w:p>
        </w:tc>
      </w:tr>
      <w:tr>
        <w:trPr/>
        <w:tc>
          <w:tcPr>
            <w:tcW w:w="4346" w:type="dxa"/>
            <w:tcBorders/>
            <w:shd w:fill="CCEE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Equity compensation plans approved by stockholders (a)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75"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14,717,114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7"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52" w:type="dxa"/>
            <w:tcBorders>
              <w:top w:val="single" w:sz="12" w:space="0" w:color="000000"/>
            </w:tcBorders>
            <w:shd w:fill="CCEEFF" w:val="clear"/>
            <w:tcMar>
              <w:top w:w="28" w:type="dxa"/>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7" w:type="dxa"/>
            <w:tcBorders>
              <w:top w:val="single" w:sz="12" w:space="0" w:color="000000"/>
              <w:bottom w:val="single" w:sz="12" w:space="0" w:color="000000"/>
            </w:tcBorders>
            <w:shd w:fill="CCEEFF" w:val="clear"/>
            <w:tcMar>
              <w:top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8,800,341</w:t>
            </w:r>
          </w:p>
        </w:tc>
        <w:tc>
          <w:tcPr>
            <w:tcW w:w="258" w:type="dxa"/>
            <w:tcBorders/>
            <w:shd w:fill="CCEE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r>
      <w:tr>
        <w:trPr/>
        <w:tc>
          <w:tcPr>
            <w:tcW w:w="4346" w:type="dxa"/>
            <w:tcBorders/>
            <w:shd w:fill="FFFFFF" w:val="clear"/>
            <w:tcMar>
              <w:bottom w:w="0" w:type="dxa"/>
            </w:tcMar>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75" w:type="dxa"/>
            <w:tcBorders>
              <w:bottom w:val="double" w:sz="8"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14,717,114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7" w:type="dxa"/>
            <w:tcBorders/>
            <w:shd w:fill="FFFFFF" w:val="clear"/>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52" w:type="dxa"/>
            <w:tcBorders/>
            <w:shd w:fill="FFFF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7" w:type="dxa"/>
            <w:tcBorders>
              <w:bottom w:val="double" w:sz="8" w:space="0" w:color="000000"/>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8,800,341</w:t>
            </w:r>
          </w:p>
        </w:tc>
        <w:tc>
          <w:tcPr>
            <w:tcW w:w="25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Consists of five Ionis plans: 1989 Stock Option Plan, Amended and Restated 2002 Non-Employee Directors’ Stock Option Plan, 2011 Equity Incentive Plan, 2020 Equity Incentive Plan and Employee Stock Purchase Plan, or ESPP.</w:t>
            </w:r>
          </w:p>
        </w:tc>
      </w:tr>
    </w:tbl>
    <w:tbl>
      <w:tblPr>
        <w:tblW w:w="7885" w:type="dxa"/>
        <w:jc w:val="left"/>
        <w:tblInd w:w="0" w:type="dxa"/>
        <w:tblLayout w:type="fixed"/>
        <w:tblCellMar>
          <w:top w:w="0" w:type="dxa"/>
          <w:left w:w="0" w:type="dxa"/>
          <w:bottom w:w="0" w:type="dxa"/>
          <w:right w:w="0" w:type="dxa"/>
        </w:tblCellMar>
      </w:tblPr>
      <w:tblGrid>
        <w:gridCol w:w="260"/>
        <w:gridCol w:w="762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6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Of these shares, 270,482 were available for purchase under the ESPP as of December 31, 2024.</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For additional details about our equity compensation plans, including a description of each plan, refer to Part IV, Item 15, Note 8, </w:t>
      </w:r>
      <w:r>
        <w:rPr>
          <w:rFonts w:ascii="Times New Roman;Times;serif" w:hAnsi="Times New Roman;Times;serif"/>
          <w:i/>
          <w:color w:val="000000"/>
          <w:sz w:val="20"/>
        </w:rPr>
        <w:t>Stockholders’ Equity</w:t>
      </w:r>
      <w:r>
        <w:rPr>
          <w:rFonts w:ascii="Times New Roman;Times;serif" w:hAnsi="Times New Roman;Times;serif"/>
          <w:color w:val="000000"/>
          <w:sz w:val="20"/>
        </w:rPr>
        <w:t>, in the Notes to the Consolidated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30" w:name="Item13"/>
      <w:bookmarkEnd w:id="30"/>
      <w:r>
        <w:rPr>
          <w:rFonts w:ascii="Times New Roman;Times;serif" w:hAnsi="Times New Roman;Time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captions “Information Regarding the Board and Corporate Governance” and “Certain Relationships and Related Transactions” contained in the Proxy Statement.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bookmarkStart w:id="31" w:name="Item14"/>
      <w:bookmarkEnd w:id="31"/>
      <w:r>
        <w:rPr>
          <w:rFonts w:ascii="Times New Roman;Times;serif" w:hAnsi="Times New Roman;Times;serif"/>
          <w:b/>
          <w:color w:val="000000"/>
          <w:sz w:val="20"/>
        </w:rPr>
        <w:t>Item 14. Principal Accountant Fees and Services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 by reference the information required by this item to the information under the caption “Ratification of Selection of Independent Auditors” contained in the Proxy Statement.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bookmarkStart w:id="32" w:name="PARTIV"/>
      <w:bookmarkEnd w:id="32"/>
      <w:r>
        <w:rPr>
          <w:rFonts w:ascii="Times New Roman;Times;serif" w:hAnsi="Times New Roman;Times;serif"/>
          <w:b/>
          <w:color w:val="000000"/>
          <w:sz w:val="20"/>
        </w:rPr>
        <w:t>PART IV</w:t>
      </w:r>
    </w:p>
    <w:p>
      <w:pPr>
        <w:pStyle w:val="TextBody"/>
        <w:bidi w:val="0"/>
        <w:spacing w:before="0" w:after="0"/>
        <w:jc w:val="center"/>
        <w:rPr/>
      </w:pPr>
      <w:r>
        <w:rPr/>
      </w:r>
    </w:p>
    <w:p>
      <w:pPr>
        <w:pStyle w:val="TextBody"/>
        <w:bidi w:val="0"/>
        <w:spacing w:before="0" w:after="0"/>
        <w:jc w:val="left"/>
        <w:rPr>
          <w:rFonts w:ascii="Times New Roman;Times;serif" w:hAnsi="Times New Roman;Times;serif"/>
          <w:b/>
          <w:color w:val="000000"/>
          <w:sz w:val="20"/>
        </w:rPr>
      </w:pPr>
      <w:bookmarkStart w:id="33" w:name="Item15"/>
      <w:bookmarkEnd w:id="33"/>
      <w:r>
        <w:rPr>
          <w:rFonts w:ascii="Times New Roman;Times;serif" w:hAnsi="Times New Roman;Times;serif"/>
          <w:b/>
          <w:color w:val="000000"/>
          <w:sz w:val="20"/>
        </w:rPr>
        <w:t>Item 15. Exhibits, Financial Statement Schedules</w:t>
      </w:r>
    </w:p>
    <w:p>
      <w:pPr>
        <w:pStyle w:val="TextBody"/>
        <w:bidi w:val="0"/>
        <w:spacing w:before="0" w:after="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(a)(1) Index to Financial Statements</w:t>
      </w:r>
    </w:p>
    <w:p>
      <w:pPr>
        <w:pStyle w:val="TextBody"/>
        <w:bidi w:val="0"/>
        <w:spacing w:before="0" w:after="0"/>
        <w:ind w:left="1440" w:right="0" w:hanging="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submitted the consolidated financial statements required by this item in a separate section beginning on page F-1 of this Report.</w:t>
      </w:r>
    </w:p>
    <w:p>
      <w:pPr>
        <w:pStyle w:val="TextBody"/>
        <w:bidi w:val="0"/>
        <w:spacing w:before="0" w:after="0"/>
        <w:ind w:left="0" w:right="0" w:firstLine="72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(a)(2) Index to Financial Statement Schedules</w:t>
      </w:r>
    </w:p>
    <w:p>
      <w:pPr>
        <w:pStyle w:val="TextBody"/>
        <w:bidi w:val="0"/>
        <w:spacing w:before="0" w:after="0"/>
        <w:ind w:left="1440" w:right="0" w:hanging="72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omitted these schedules because they are not required, or are not applicable, or the required information is shown in the consolidated financial statements or notes thereto.</w:t>
      </w:r>
    </w:p>
    <w:p>
      <w:pPr>
        <w:pStyle w:val="TextBody"/>
        <w:bidi w:val="0"/>
        <w:spacing w:before="0" w:after="0"/>
        <w:ind w:left="0" w:right="0" w:firstLine="720"/>
        <w:jc w:val="left"/>
        <w:rPr/>
      </w:pPr>
      <w:r>
        <w:rPr/>
      </w:r>
    </w:p>
    <w:p>
      <w:pPr>
        <w:pStyle w:val="TextBody"/>
        <w:bidi w:val="0"/>
        <w:spacing w:before="0" w:after="0"/>
        <w:ind w:left="1440" w:right="0" w:hanging="720"/>
        <w:jc w:val="left"/>
        <w:rPr>
          <w:rFonts w:ascii="Times New Roman;Times;serif" w:hAnsi="Times New Roman;Times;serif"/>
          <w:b/>
          <w:color w:val="000000"/>
          <w:sz w:val="20"/>
        </w:rPr>
      </w:pPr>
      <w:r>
        <w:rPr>
          <w:rFonts w:ascii="Times New Roman;Times;serif" w:hAnsi="Times New Roman;Times;serif"/>
          <w:b/>
          <w:color w:val="000000"/>
          <w:sz w:val="20"/>
        </w:rPr>
        <w:t>(a)(3) Index to Exhibits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INDEX TO EXHIBITS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943"/>
        <w:gridCol w:w="60"/>
        <w:gridCol w:w="9202"/>
      </w:tblGrid>
      <w:tr>
        <w:trPr/>
        <w:tc>
          <w:tcPr>
            <w:tcW w:w="943"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vAlign w:val="center"/>
          </w:tcPr>
          <w:p>
            <w:pPr>
              <w:pStyle w:val="TableContents"/>
              <w:bidi w:val="0"/>
              <w:spacing w:before="0" w:after="283"/>
              <w:jc w:val="left"/>
              <w:rPr/>
            </w:pPr>
            <w:r>
              <w:rPr/>
              <w:t> </w:t>
            </w:r>
          </w:p>
        </w:tc>
        <w:tc>
          <w:tcPr>
            <w:tcW w:w="9202"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Description of Document</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6">
              <w:r>
                <w:rPr>
                  <w:rStyle w:val="InternetLink"/>
                  <w:rFonts w:ascii="Times New Roman;Times;serif" w:hAnsi="Times New Roman;Times;serif"/>
                  <w:sz w:val="20"/>
                </w:rPr>
                <w:t>Agreement and Plan of Merger, dated as of August 30, 2020, among Akcea Therapeutics, Inc., Ionis Pharmaceuticals, Inc. and Avalanche Merger Sub, Inc.</w:t>
              </w:r>
            </w:hyperlink>
            <w:r>
              <w:rPr>
                <w:rFonts w:ascii="Times New Roman;Times;serif" w:hAnsi="Times New Roman;Times;serif"/>
                <w:sz w:val="20"/>
              </w:rPr>
              <w:t>, filed as an exhibit to the Registrant’s Current Report on Form 8-K filed August 31, 2020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7">
              <w:r>
                <w:rPr>
                  <w:rStyle w:val="InternetLink"/>
                  <w:rFonts w:ascii="Times New Roman;Times;serif" w:hAnsi="Times New Roman;Times;serif"/>
                  <w:sz w:val="20"/>
                </w:rPr>
                <w:t>Amended and Restated Certificate of Incorporation filed June 19, 1991</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8">
              <w:r>
                <w:rPr>
                  <w:rStyle w:val="InternetLink"/>
                  <w:rFonts w:ascii="Times New Roman;Times;serif" w:hAnsi="Times New Roman;Times;serif"/>
                  <w:sz w:val="20"/>
                </w:rPr>
                <w:t>Certificate of Amendment to Restated Certificate of Incorporation</w:t>
              </w:r>
            </w:hyperlink>
            <w:r>
              <w:rPr>
                <w:rFonts w:ascii="Times New Roman;Times;serif" w:hAnsi="Times New Roman;Times;serif"/>
                <w:sz w:val="20"/>
              </w:rPr>
              <w:t>, filed as an appendix to the Registrant’s Notice of 2014 Annual Meeting of Stockholders and Proxy Statement filed on April 25, 2014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9">
              <w:r>
                <w:rPr>
                  <w:rStyle w:val="InternetLink"/>
                  <w:rFonts w:ascii="Times New Roman;Times;serif" w:hAnsi="Times New Roman;Times;serif"/>
                  <w:sz w:val="20"/>
                </w:rPr>
                <w:t>Certificate of Amendment to Restated Certificate of Incorporation</w:t>
              </w:r>
            </w:hyperlink>
            <w:r>
              <w:rPr>
                <w:rFonts w:ascii="Times New Roman;Times;serif" w:hAnsi="Times New Roman;Times;serif"/>
                <w:sz w:val="20"/>
              </w:rPr>
              <w:t>, filed as an exhibit to the Registrant’s Current Report on Form 8-K filed December 18, 2015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10">
              <w:r>
                <w:rPr>
                  <w:rStyle w:val="InternetLink"/>
                  <w:rFonts w:ascii="Times New Roman;Times;serif" w:hAnsi="Times New Roman;Times;serif"/>
                  <w:sz w:val="20"/>
                </w:rPr>
                <w:t>Amended and Restated Bylaws</w:t>
              </w:r>
            </w:hyperlink>
            <w:r>
              <w:rPr>
                <w:rFonts w:ascii="Times New Roman;Times;serif" w:hAnsi="Times New Roman;Times;serif"/>
                <w:sz w:val="20"/>
              </w:rPr>
              <w:t>, filed as an exhibit to the Registrant’s Current Report on Form 8-K filed March 29, 2021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11">
              <w:r>
                <w:rPr>
                  <w:rStyle w:val="InternetLink"/>
                  <w:rFonts w:ascii="Times New Roman;Times;serif" w:hAnsi="Times New Roman;Times;serif"/>
                  <w:sz w:val="20"/>
                </w:rPr>
                <w:t>Description of the Registrant’s Securities</w:t>
              </w:r>
            </w:hyperlink>
            <w:r>
              <w:rPr>
                <w:rFonts w:ascii="Times New Roman;Times;serif" w:hAnsi="Times New Roman;Times;serif"/>
                <w:sz w:val="20"/>
              </w:rPr>
              <w:t>, filed as an exhibit to the Registrant’s Annual Report on Form 10-K for the year ended December 31, 2021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4.2</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12">
              <w:r>
                <w:rPr>
                  <w:rStyle w:val="InternetLink"/>
                  <w:rFonts w:ascii="Times New Roman;Times;serif" w:hAnsi="Times New Roman;Times;serif"/>
                  <w:sz w:val="20"/>
                </w:rPr>
                <w:t>Certificate of Designation of the Series C Junior Participating Preferred Stock</w:t>
              </w:r>
            </w:hyperlink>
            <w:r>
              <w:rPr>
                <w:rFonts w:ascii="Times New Roman;Times;serif" w:hAnsi="Times New Roman;Times;serif"/>
                <w:sz w:val="20"/>
              </w:rPr>
              <w:t>, filed as an exhibit to Registrant’s Current Report on Form 8-K filed December 13, 2000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13">
              <w:r>
                <w:rPr>
                  <w:rStyle w:val="InternetLink"/>
                  <w:rFonts w:ascii="Times New Roman;Times;serif" w:hAnsi="Times New Roman;Times;serif"/>
                  <w:sz w:val="20"/>
                </w:rPr>
                <w:t>Specimen Common Stock Certificate</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14">
              <w:r>
                <w:rPr>
                  <w:rStyle w:val="InternetLink"/>
                  <w:rFonts w:ascii="Times New Roman;Times;serif" w:hAnsi="Times New Roman;Times;serif"/>
                  <w:sz w:val="20"/>
                </w:rPr>
                <w:t>Form of Warrant Transactions Confirmation for Convertible Senior Notes due 2024</w:t>
              </w:r>
            </w:hyperlink>
            <w:r>
              <w:rPr>
                <w:rFonts w:ascii="Times New Roman;Times;serif" w:hAnsi="Times New Roman;Times;serif"/>
                <w:sz w:val="20"/>
              </w:rPr>
              <w:t>, filed as an exhibit to the Registrant’s Current Report on Form 8-K filed December 12, 2019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15">
              <w:r>
                <w:rPr>
                  <w:rStyle w:val="InternetLink"/>
                  <w:rFonts w:ascii="Times New Roman;Times;serif" w:hAnsi="Times New Roman;Times;serif"/>
                  <w:sz w:val="20"/>
                </w:rPr>
                <w:t>Indenture, dated as of April 12, 2021, by and between the Registrant and U.S. Bank National Association, as trustee, including Form of 0 percent Convertible Senior Note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4.6</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16">
              <w:r>
                <w:rPr>
                  <w:rStyle w:val="InternetLink"/>
                  <w:rFonts w:ascii="Times New Roman;Times;serif" w:hAnsi="Times New Roman;Times;serif"/>
                  <w:sz w:val="20"/>
                </w:rPr>
                <w:t>Form of Warrant Confirmation for Convertible Senior Notes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17">
              <w:r>
                <w:rPr>
                  <w:rStyle w:val="InternetLink"/>
                  <w:rFonts w:ascii="Times New Roman;Times;serif" w:hAnsi="Times New Roman;Times;serif"/>
                  <w:sz w:val="20"/>
                </w:rPr>
                <w:t>Form of Convertible Note Hedge Confirmation for Convertible Senior Notes due 2026</w:t>
              </w:r>
            </w:hyperlink>
            <w:r>
              <w:rPr>
                <w:rFonts w:ascii="Times New Roman;Times;serif" w:hAnsi="Times New Roman;Times;serif"/>
                <w:sz w:val="20"/>
              </w:rPr>
              <w:t>, filed as an exhibit to the Registrant’s Current Report on Form 8-K filed April 13, 2021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18">
              <w:r>
                <w:rPr>
                  <w:rStyle w:val="InternetLink"/>
                  <w:rFonts w:ascii="Times New Roman;Times;serif" w:hAnsi="Times New Roman;Times;serif"/>
                  <w:sz w:val="20"/>
                </w:rPr>
                <w:t>Indenture, dated as of June 12, 2023, by and between the Registrant and U.S. Bank Trust Company, a National Association, as trustee, including Form of 1.75 percent Global Note due in 2028</w:t>
              </w:r>
            </w:hyperlink>
            <w:r>
              <w:rPr>
                <w:rFonts w:ascii="Times New Roman;Times;serif" w:hAnsi="Times New Roman;Times;serif"/>
                <w:sz w:val="20"/>
              </w:rPr>
              <w:t>, filed as an exhibit to the Registrant’s Current Report on Form 8-K filed June 12, 2023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24"/>
              </w:rPr>
              <w:t>*</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19">
              <w:r>
                <w:rPr>
                  <w:rStyle w:val="InternetLink"/>
                  <w:rFonts w:ascii="Times New Roman;Times;serif" w:hAnsi="Times New Roman;Times;serif"/>
                  <w:sz w:val="20"/>
                </w:rPr>
                <w:t>Advisory Services Agreement by and between the Registrant and Onaiza Cadoret-Manier dated March 15, 2024</w:t>
              </w:r>
            </w:hyperlink>
            <w:r>
              <w:rPr>
                <w:rFonts w:ascii="Times New Roman;Times;serif" w:hAnsi="Times New Roman;Times;serif"/>
                <w:sz w:val="20"/>
              </w:rPr>
              <w:t>, filed as an exhibit to the Registrant’s Quarterly Report on Form 10-Q for the quarter ended March 31, 2024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20">
              <w:r>
                <w:rPr>
                  <w:rStyle w:val="InternetLink"/>
                  <w:rFonts w:ascii="Times New Roman;Times;serif" w:hAnsi="Times New Roman;Times;serif"/>
                  <w:sz w:val="20"/>
                </w:rPr>
                <w:t>Second Amended Non-Employee Director Compensation Policy</w:t>
              </w:r>
            </w:hyperlink>
            <w:r>
              <w:rPr>
                <w:rFonts w:ascii="Times New Roman;Times;serif" w:hAnsi="Times New Roman;Times;serif"/>
                <w:sz w:val="20"/>
              </w:rPr>
              <w:t>, filed as an exhibit to the Registrant’s Quarterly Report on Form 10-Q for the quarter ended March 31, 2023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21">
              <w:r>
                <w:rPr>
                  <w:rStyle w:val="InternetLink"/>
                  <w:rFonts w:ascii="Times New Roman;Times;serif" w:hAnsi="Times New Roman;Times;serif"/>
                  <w:sz w:val="20"/>
                </w:rPr>
                <w:t>Registrant’s Amended and Restated Severance Benefit Plan dated March 17, 2022</w:t>
              </w:r>
            </w:hyperlink>
            <w:r>
              <w:rPr>
                <w:rFonts w:ascii="Times New Roman;Times;serif" w:hAnsi="Times New Roman;Times;serif"/>
                <w:sz w:val="20"/>
              </w:rPr>
              <w:t>, filed as an exhibit to the Registrant’s Quarterly Report on form 10-Q for the quarter ended March 31, 2022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22">
              <w:r>
                <w:rPr>
                  <w:rStyle w:val="InternetLink"/>
                  <w:rFonts w:ascii="Times New Roman;Times;serif" w:hAnsi="Times New Roman;Times;serif"/>
                  <w:sz w:val="20"/>
                </w:rPr>
                <w:t>Form of Indemnity Agreement entered into between the Registrant and its Directors and Executive Officers with related schedule</w:t>
              </w:r>
            </w:hyperlink>
            <w:r>
              <w:rPr>
                <w:rFonts w:ascii="Times New Roman;Times;serif" w:hAnsi="Times New Roman;Times;serif"/>
                <w:sz w:val="20"/>
              </w:rPr>
              <w:t>, filed as an exhibit to the Registrant’s Annual Report on Form 10-K for the year ended December 31, 2023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23">
              <w:r>
                <w:rPr>
                  <w:rStyle w:val="InternetLink"/>
                  <w:rFonts w:ascii="Times New Roman;Times;serif" w:hAnsi="Times New Roman;Times;serif"/>
                  <w:sz w:val="20"/>
                </w:rPr>
                <w:t>Form of Employee Confidential Information and Inventions Agreement</w:t>
              </w:r>
            </w:hyperlink>
            <w:r>
              <w:rPr>
                <w:rFonts w:ascii="Times New Roman;Times;serif" w:hAnsi="Times New Roman;Times;serif"/>
                <w:sz w:val="20"/>
              </w:rPr>
              <w:t>, filed as an exhibit to the Registrant’s Annual Report on Form 10-K for the year ended December 31, 2017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24">
              <w:r>
                <w:rPr>
                  <w:rStyle w:val="InternetLink"/>
                  <w:rFonts w:ascii="Times New Roman;Times;serif" w:hAnsi="Times New Roman;Times;serif"/>
                  <w:sz w:val="20"/>
                </w:rPr>
                <w:t>Registrant’s Amended and Restated 2000 Employee Stock Purchase Plan</w:t>
              </w:r>
            </w:hyperlink>
            <w:r>
              <w:rPr>
                <w:rFonts w:ascii="Times New Roman;Times;serif" w:hAnsi="Times New Roman;Times;serif"/>
                <w:sz w:val="20"/>
              </w:rPr>
              <w:t>, filed as an exhibit to Registrant’s Current Report on Form 8-K filed on March 26, 2019 and incorporated herein by reference.</w:t>
            </w:r>
          </w:p>
        </w:tc>
      </w:tr>
      <w:tr>
        <w:trPr/>
        <w:tc>
          <w:tcPr>
            <w:tcW w:w="943"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202" w:type="dxa"/>
            <w:tcBorders/>
            <w:shd w:fill="FFFFFF" w:val="clear"/>
            <w:vAlign w:val="center"/>
          </w:tcPr>
          <w:p>
            <w:pPr>
              <w:pStyle w:val="TableContents"/>
              <w:bidi w:val="0"/>
              <w:spacing w:before="0" w:after="0"/>
              <w:jc w:val="both"/>
              <w:rPr/>
            </w:pPr>
            <w:hyperlink r:id="rId25">
              <w:r>
                <w:rPr>
                  <w:rStyle w:val="InternetLink"/>
                  <w:rFonts w:ascii="Times New Roman;Times;serif" w:hAnsi="Times New Roman;Times;serif"/>
                  <w:sz w:val="20"/>
                </w:rPr>
                <w:t xml:space="preserve">Registrant’s Amended and Restated 2002 Non-Employee Directors’ Stock Option Plan, </w:t>
              </w:r>
            </w:hyperlink>
            <w:r>
              <w:rPr>
                <w:rFonts w:ascii="Times New Roman;Times;serif" w:hAnsi="Times New Roman;Times;serif"/>
                <w:sz w:val="20"/>
              </w:rPr>
              <w:t>filed as an exhibit to the Registrant’s Quarterly Report on Form 10-Q for the quarter ended March 31, 2023 and incorporated herein by reference.</w:t>
            </w:r>
          </w:p>
        </w:tc>
      </w:tr>
      <w:tr>
        <w:trPr/>
        <w:tc>
          <w:tcPr>
            <w:tcW w:w="943"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w:t>
            </w:r>
          </w:p>
        </w:tc>
        <w:tc>
          <w:tcPr>
            <w:tcW w:w="60" w:type="dxa"/>
            <w:tcBorders/>
            <w:shd w:fill="CCEEFF" w:val="clear"/>
            <w:vAlign w:val="center"/>
          </w:tcPr>
          <w:p>
            <w:pPr>
              <w:pStyle w:val="TableContents"/>
              <w:bidi w:val="0"/>
              <w:spacing w:before="0" w:after="283"/>
              <w:jc w:val="left"/>
              <w:rPr/>
            </w:pPr>
            <w:r>
              <w:rPr/>
              <w:t> </w:t>
            </w:r>
          </w:p>
        </w:tc>
        <w:tc>
          <w:tcPr>
            <w:tcW w:w="9202" w:type="dxa"/>
            <w:tcBorders/>
            <w:shd w:fill="CCEEFF" w:val="clear"/>
            <w:vAlign w:val="center"/>
          </w:tcPr>
          <w:p>
            <w:pPr>
              <w:pStyle w:val="TableContents"/>
              <w:bidi w:val="0"/>
              <w:spacing w:before="0" w:after="0"/>
              <w:jc w:val="both"/>
              <w:rPr/>
            </w:pPr>
            <w:hyperlink r:id="rId26">
              <w:r>
                <w:rPr>
                  <w:rStyle w:val="InternetLink"/>
                  <w:rFonts w:ascii="Times New Roman;Times;serif" w:hAnsi="Times New Roman;Times;serif"/>
                  <w:sz w:val="20"/>
                </w:rPr>
                <w:t>Form of Option Agreement for Options granted under the Ionis Pharmaceuticals, Inc. Amended and Restated 2002 Non-Employee Directors’ Stock Option Plan</w:t>
              </w:r>
            </w:hyperlink>
            <w:r>
              <w:rPr>
                <w:rFonts w:ascii="Times New Roman;Times;serif" w:hAnsi="Times New Roman;Times;serif"/>
                <w:sz w:val="20"/>
              </w:rPr>
              <w:t>, filed as an exhibit to the Registrant’s Annual Report on Form 10-K for the year ended December 31, 2022 and incorporated herein by reference.</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25"/>
        <w:gridCol w:w="60"/>
        <w:gridCol w:w="9620"/>
      </w:tblGrid>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27">
              <w:r>
                <w:rPr>
                  <w:rStyle w:val="InternetLink"/>
                  <w:rFonts w:ascii="Times New Roman;Times;serif" w:hAnsi="Times New Roman;Times;serif"/>
                  <w:sz w:val="20"/>
                </w:rPr>
                <w:t xml:space="preserve">Forms of Restricted Stock Unit Grant Notice and Restricted Stock Unit Agreement for Restricted Stock Units granted under the Ionis Pharmaceuticals, Inc. Amended and Restated 2002 Non-Employee Directors’ Stock Option Plan, </w:t>
              </w:r>
            </w:hyperlink>
            <w:r>
              <w:rPr>
                <w:rFonts w:ascii="Times New Roman;Times;serif" w:hAnsi="Times New Roman;Times;serif"/>
                <w:sz w:val="20"/>
              </w:rPr>
              <w:t>filed as an exhibit to the Registrant’s Quarterly Report on Form 10-Q for the quarter ended March 31, 2023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28">
              <w:r>
                <w:rPr>
                  <w:rStyle w:val="InternetLink"/>
                  <w:rFonts w:ascii="Times New Roman;Times;serif" w:hAnsi="Times New Roman;Times;serif"/>
                  <w:sz w:val="20"/>
                </w:rPr>
                <w:t>Amended and Restated Ionis Pharmaceuticals, Inc. 2011 Equity Incentive Plan</w:t>
              </w:r>
            </w:hyperlink>
            <w:r>
              <w:rPr>
                <w:rFonts w:ascii="Times New Roman;Times;serif" w:hAnsi="Times New Roman;Times;serif"/>
                <w:sz w:val="20"/>
              </w:rPr>
              <w:t>, filed as an appendix to the Registrant’s Notice of 2024 Annual Meeting of Stockholders and Proxy Statement filed on April 25, 2024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29">
              <w:r>
                <w:rPr>
                  <w:rStyle w:val="InternetLink"/>
                  <w:rFonts w:ascii="Times New Roman;Times;serif" w:hAnsi="Times New Roman;Times;serif"/>
                  <w:sz w:val="20"/>
                </w:rPr>
                <w:t>Form of Option Agreement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30">
              <w:r>
                <w:rPr>
                  <w:rStyle w:val="InternetLink"/>
                  <w:rFonts w:ascii="Times New Roman;Times;serif" w:hAnsi="Times New Roman;Times;serif"/>
                  <w:sz w:val="20"/>
                </w:rPr>
                <w:t>Form of Time-Vested Restricted Stock Unit Agreement for Restricted Stock Units granted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10.13*</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31">
              <w:r>
                <w:rPr>
                  <w:rStyle w:val="InternetLink"/>
                  <w:rFonts w:ascii="Times New Roman;Times;serif" w:hAnsi="Times New Roman;Times;serif"/>
                  <w:sz w:val="20"/>
                </w:rPr>
                <w:t>Forms of Performance Based Restricted Stock Unit Grant Notice and Performance Based Restricted Stock Unit Agreement for Performance Based Restricted Stock Units granted prior to January 1, 2023 under the 2011 Equity Incentive Plan</w:t>
              </w:r>
            </w:hyperlink>
            <w:r>
              <w:rPr>
                <w:rFonts w:ascii="Times New Roman;Times;serif" w:hAnsi="Times New Roman;Times;serif"/>
                <w:sz w:val="20"/>
              </w:rPr>
              <w:t>, filed as an exhibit to the Registrant’s Annual Report on Form 10-K for the year ended December 31, 2021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32">
              <w:r>
                <w:rPr>
                  <w:rStyle w:val="InternetLink"/>
                  <w:rFonts w:ascii="Times New Roman;Times;serif" w:hAnsi="Times New Roman;Times;serif"/>
                  <w:sz w:val="20"/>
                </w:rPr>
                <w:t>Forms of Performance Based Restricted Stock Unit Grant Notice and Performance Based Restricted Stock Unit Agreement for Performance Based Restricted Stock Units granted beginning January 1, 2023 under the 2011 Equity Incentive Plan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10.15*</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33">
              <w:r>
                <w:rPr>
                  <w:rStyle w:val="InternetLink"/>
                  <w:rFonts w:ascii="Times New Roman;Times;serif" w:hAnsi="Times New Roman;Times;serif"/>
                  <w:sz w:val="20"/>
                </w:rPr>
                <w:t>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10.16*</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34">
              <w:r>
                <w:rPr>
                  <w:rStyle w:val="InternetLink"/>
                  <w:rFonts w:ascii="Times New Roman;Times;serif" w:hAnsi="Times New Roman;Times;serif"/>
                  <w:sz w:val="20"/>
                </w:rPr>
                <w:t>Form of Global Option Agreement for options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10.17*</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35">
              <w:r>
                <w:rPr>
                  <w:rStyle w:val="InternetLink"/>
                  <w:rFonts w:ascii="Times New Roman;Times;serif" w:hAnsi="Times New Roman;Times;serif"/>
                  <w:sz w:val="20"/>
                </w:rPr>
                <w:t>Form of Global Restricted Stock Unit Agreement for restricted stock units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10.18*</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36">
              <w:r>
                <w:rPr>
                  <w:rStyle w:val="InternetLink"/>
                  <w:rFonts w:ascii="Times New Roman;Times;serif" w:hAnsi="Times New Roman;Times;serif"/>
                  <w:sz w:val="20"/>
                </w:rPr>
                <w:t>Forms of Restricted Stock Unit Grant Notice, Stock Option Grant Notice and Stock Option Exercise Notice for options granted under the Ionis Pharmaceuticals, Inc. 2020 Equity Incentive Plan</w:t>
              </w:r>
            </w:hyperlink>
            <w:r>
              <w:rPr>
                <w:rFonts w:ascii="Times New Roman;Times;serif" w:hAnsi="Times New Roman;Times;serif"/>
                <w:sz w:val="20"/>
              </w:rPr>
              <w:t>, filed as an exhibit to the Registrant’s Registration Statement on Form S-8 filed on December 31, 2020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10.19</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37">
              <w:r>
                <w:rPr>
                  <w:rStyle w:val="InternetLink"/>
                  <w:rFonts w:ascii="Times New Roman;Times;serif" w:hAnsi="Times New Roman;Times;serif"/>
                  <w:sz w:val="20"/>
                </w:rPr>
                <w:t>Loan Agreement between Ionis Faraday, LLC and UBS AG</w:t>
              </w:r>
            </w:hyperlink>
            <w:r>
              <w:rPr>
                <w:rFonts w:ascii="Times New Roman;Times;serif" w:hAnsi="Times New Roman;Times;serif"/>
                <w:sz w:val="20"/>
              </w:rPr>
              <w:t xml:space="preserve"> dated July 18, 2017, filed as an exhibit to the Registrant’s Current Report on Form 8-K filed July 21, 2017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10.20</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38">
              <w:r>
                <w:rPr>
                  <w:rStyle w:val="InternetLink"/>
                  <w:rFonts w:ascii="Times New Roman;Times;serif" w:hAnsi="Times New Roman;Times;serif"/>
                  <w:sz w:val="20"/>
                </w:rPr>
                <w:t>Guaranty between the Registrant and UBS AG dated July 18, 2017</w:t>
              </w:r>
            </w:hyperlink>
            <w:r>
              <w:rPr>
                <w:rFonts w:ascii="Times New Roman;Times;serif" w:hAnsi="Times New Roman;Times;serif"/>
                <w:sz w:val="20"/>
              </w:rPr>
              <w:t>, filed as an exhibit to the Registrant’s Current Report on Form 8-K filed July 21, 2017 and incorporated herein by reference.</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10.21</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39">
              <w:r>
                <w:rPr>
                  <w:rStyle w:val="InternetLink"/>
                  <w:rFonts w:ascii="Times New Roman;Times;serif" w:hAnsi="Times New Roman;Times;serif"/>
                  <w:sz w:val="20"/>
                </w:rPr>
                <w:t>Purchase and Sale Agreement between Ionis Gazelle, LLC and 2850 2855 &amp; 2859 Gazelle Owner (DE) LLC dated as of October 20,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10.22</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40">
              <w:r>
                <w:rPr>
                  <w:rStyle w:val="InternetLink"/>
                  <w:rFonts w:ascii="Times New Roman;Times;serif" w:hAnsi="Times New Roman;Times;serif"/>
                  <w:sz w:val="20"/>
                </w:rPr>
                <w:t>Purchase and Sale Agreement between the Registrant and Oxford I Asset Management USA Inc. dated as of October 20,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10.23</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41">
              <w:r>
                <w:rPr>
                  <w:rStyle w:val="InternetLink"/>
                  <w:rFonts w:ascii="Times New Roman;Times;serif" w:hAnsi="Times New Roman;Times;serif"/>
                  <w:sz w:val="20"/>
                </w:rPr>
                <w:t>First Amendment dated June 15, 2023 to the Purchase and Sale Agreement by and between the Registrant and Oxford I Asset Management USA Inc. dated as of October 20, 2022</w:t>
              </w:r>
            </w:hyperlink>
            <w:r>
              <w:rPr>
                <w:rFonts w:ascii="Times New Roman;Times;serif" w:hAnsi="Times New Roman;Times;serif"/>
                <w:sz w:val="20"/>
              </w:rPr>
              <w:t>, filed as an exhibit to the Registrant’s Quarterly Report on Form 10-Q for the quarter ended June 30, 2023 and incorporated herein by reference.</w:t>
            </w:r>
          </w:p>
        </w:tc>
      </w:tr>
      <w:tr>
        <w:trPr/>
        <w:tc>
          <w:tcPr>
            <w:tcW w:w="52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10.24</w:t>
            </w:r>
          </w:p>
        </w:tc>
        <w:tc>
          <w:tcPr>
            <w:tcW w:w="60" w:type="dxa"/>
            <w:tcBorders/>
            <w:shd w:fill="FFFFFF" w:val="clear"/>
            <w:vAlign w:val="center"/>
          </w:tcPr>
          <w:p>
            <w:pPr>
              <w:pStyle w:val="TableContents"/>
              <w:bidi w:val="0"/>
              <w:spacing w:before="0" w:after="283"/>
              <w:jc w:val="left"/>
              <w:rPr/>
            </w:pPr>
            <w:r>
              <w:rPr/>
              <w:t> </w:t>
            </w:r>
          </w:p>
        </w:tc>
        <w:tc>
          <w:tcPr>
            <w:tcW w:w="9620" w:type="dxa"/>
            <w:tcBorders/>
            <w:shd w:fill="FFFFFF" w:val="clear"/>
            <w:vAlign w:val="center"/>
          </w:tcPr>
          <w:p>
            <w:pPr>
              <w:pStyle w:val="TableContents"/>
              <w:bidi w:val="0"/>
              <w:spacing w:before="0" w:after="0"/>
              <w:jc w:val="both"/>
              <w:rPr/>
            </w:pPr>
            <w:hyperlink r:id="rId42">
              <w:r>
                <w:rPr>
                  <w:rStyle w:val="InternetLink"/>
                  <w:rFonts w:ascii="Times New Roman;Times;serif" w:hAnsi="Times New Roman;Times;serif"/>
                  <w:sz w:val="20"/>
                </w:rPr>
                <w:t>Lease Agreement dated October 20, 2022 between the Registrant and 2850 2855 &amp; 2859 Gazelle Owner (DE) LLC,</w:t>
              </w:r>
            </w:hyperlink>
            <w:r>
              <w:rPr>
                <w:rFonts w:ascii="Times New Roman;Times;serif" w:hAnsi="Times New Roman;Times;serif"/>
                <w:sz w:val="20"/>
              </w:rPr>
              <w:t xml:space="preserve">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25"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10.25</w:t>
            </w:r>
          </w:p>
        </w:tc>
        <w:tc>
          <w:tcPr>
            <w:tcW w:w="60" w:type="dxa"/>
            <w:tcBorders/>
            <w:shd w:fill="CCEEFF" w:val="clear"/>
            <w:vAlign w:val="center"/>
          </w:tcPr>
          <w:p>
            <w:pPr>
              <w:pStyle w:val="TableContents"/>
              <w:bidi w:val="0"/>
              <w:spacing w:before="0" w:after="283"/>
              <w:jc w:val="left"/>
              <w:rPr/>
            </w:pPr>
            <w:r>
              <w:rPr/>
              <w:t> </w:t>
            </w:r>
          </w:p>
        </w:tc>
        <w:tc>
          <w:tcPr>
            <w:tcW w:w="9620" w:type="dxa"/>
            <w:tcBorders/>
            <w:shd w:fill="CCEEFF" w:val="clear"/>
            <w:vAlign w:val="center"/>
          </w:tcPr>
          <w:p>
            <w:pPr>
              <w:pStyle w:val="TableContents"/>
              <w:bidi w:val="0"/>
              <w:spacing w:before="0" w:after="0"/>
              <w:jc w:val="both"/>
              <w:rPr/>
            </w:pPr>
            <w:hyperlink r:id="rId43">
              <w:r>
                <w:rPr>
                  <w:rStyle w:val="InternetLink"/>
                  <w:rFonts w:ascii="Times New Roman;Times;serif" w:hAnsi="Times New Roman;Times;serif"/>
                  <w:sz w:val="20"/>
                </w:rPr>
                <w:t>Amended and Restated Lease Agreement between the Registrant and Lots 21 &amp; 22 Owner (DE) LLC dated as of August 21,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10.26</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44">
              <w:r>
                <w:rPr>
                  <w:rStyle w:val="InternetLink"/>
                  <w:rFonts w:ascii="Times New Roman;Times;serif" w:hAnsi="Times New Roman;Times;serif"/>
                  <w:sz w:val="20"/>
                </w:rPr>
                <w:t>First Amendment dated as of November 6, 2023 to Amended and Restated Lease Agreement between the Registrant and Lots 21 &amp; 22 Owner (DE) LLC dated as of August 21, 2023</w:t>
              </w:r>
            </w:hyperlink>
            <w:r>
              <w:rPr>
                <w:rFonts w:ascii="Times New Roman;Times;serif" w:hAnsi="Times New Roman;Times;serif"/>
                <w:sz w:val="20"/>
              </w:rPr>
              <w:t>, filed as an exhibit to the Registrant’s Annual Report on Form 10-K for the year ended December 31, 2023 and incorporated herein by reference.</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45">
              <w:r>
                <w:rPr>
                  <w:rStyle w:val="InternetLink"/>
                  <w:rFonts w:ascii="Times New Roman;Times;serif" w:hAnsi="Times New Roman;Times;serif"/>
                  <w:sz w:val="20"/>
                </w:rPr>
                <w:t>Second Amendment dated as of June 11, 2024 to the Amended and Restated Lease Agreement by and between the Registrant and Lots 21 and 22 Owner (DE) LLC dated as of August 21, 2023</w:t>
              </w:r>
            </w:hyperlink>
            <w:r>
              <w:rPr>
                <w:rFonts w:ascii="Times New Roman;Times;serif" w:hAnsi="Times New Roman;Times;serif"/>
                <w:sz w:val="20"/>
              </w:rPr>
              <w:t>, filed as an exhibit to the Registrant’s Quarterly Report on Form 10-Q for the quarter ended June 30, 2024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46">
              <w:r>
                <w:rPr>
                  <w:rStyle w:val="InternetLink"/>
                  <w:rFonts w:ascii="Times New Roman;Times;serif" w:hAnsi="Times New Roman;Times;serif"/>
                  <w:sz w:val="20"/>
                </w:rPr>
                <w:t>Defeasance Pledge and Security Agreement dated as of October 20, 2022 by and among Ionis Gazelle, LLC, Wells Fargo Bank, National Association, as Trustee for the Benefit of the Registered Holders of UBS Commercial Mortgage Trust 2017-C3, Commercial Mortgage Pass-Through Certificates, Series 2017-C3, and U.S. Bank Trust Company, National Association</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10.29</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47">
              <w:r>
                <w:rPr>
                  <w:rStyle w:val="InternetLink"/>
                  <w:rFonts w:ascii="Times New Roman;Times;serif" w:hAnsi="Times New Roman;Times;serif"/>
                  <w:sz w:val="20"/>
                </w:rPr>
                <w:t>Defeasance Assignment, Assumption and Release Agreement dated as of October 20, 2022 by and among Ionis Gazelle, LLC, DHC UBSCM 17 C3 Successor Borrower-R, LLC, Wells Fargo Bank, National Association, as Trustee for the Benefit of the Registered Holders of UBS Commercial Mortgage Trust 2017-C3, Commercial Mortgage Pass-Through Certificates, Series 2017-C3, Midland Loan Services, a division of PNC Bank, National Association, and U.S. Bank Trust Company, National Association</w:t>
              </w:r>
            </w:hyperlink>
            <w:r>
              <w:rPr>
                <w:rFonts w:ascii="Times New Roman;Times;serif" w:hAnsi="Times New Roman;Times;serif"/>
                <w:sz w:val="20"/>
              </w:rPr>
              <w:t>, filed as an exhibit to the Registrant’s Annual Report on Form 10-K for the year ended December 31, 2022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10.30</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48">
              <w:r>
                <w:rPr>
                  <w:rStyle w:val="InternetLink"/>
                  <w:rFonts w:ascii="Times New Roman;Times;serif" w:hAnsi="Times New Roman;Times;serif"/>
                  <w:sz w:val="20"/>
                </w:rPr>
                <w:t>Defeasance Account Agreement dated as of October 20, 2022 by and among Ionis Gazelle, LLC, U.S. Bank Trust Company, National Association, U.S. Bank National Association, as Trustee for the Benefit of the Registered Holders of UBS Commercial Mortgage Trust 2017-C3, Commercial Mortgage Pass-Through Certificates, Series 2017-C3, and Midland Loan Services, a division of PNC Bank, National Association</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49">
              <w:r>
                <w:rPr>
                  <w:rStyle w:val="InternetLink"/>
                  <w:rFonts w:ascii="Times New Roman;Times;serif" w:hAnsi="Times New Roman;Times;serif"/>
                  <w:sz w:val="20"/>
                </w:rPr>
                <w:t>Exclusive License Agreement between the Registrant and the University of Massachusetts dated January 14, 2010</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10.32</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0">
              <w:r>
                <w:rPr>
                  <w:rStyle w:val="InternetLink"/>
                  <w:rFonts w:ascii="Times New Roman;Times;serif" w:hAnsi="Times New Roman;Times;serif"/>
                  <w:sz w:val="20"/>
                </w:rPr>
                <w:t>Research, Development and License Agreement between the Registrant and Glaxo Group Limited dated March 30, 2010</w:t>
              </w:r>
            </w:hyperlink>
            <w:r>
              <w:rPr>
                <w:rFonts w:ascii="Times New Roman;Times;serif" w:hAnsi="Times New Roman;Times;serif"/>
                <w:sz w:val="20"/>
              </w:rPr>
              <w:t>, filed as an exhibit to the Registrant’s Quarterly Report on Form 10-Q for the quarter ended March 31, 2010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10.33</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1">
              <w:r>
                <w:rPr>
                  <w:rStyle w:val="InternetLink"/>
                  <w:rFonts w:ascii="Times New Roman;Times;serif" w:hAnsi="Times New Roman;Times;serif"/>
                  <w:sz w:val="20"/>
                </w:rPr>
                <w:t>Amendment #1 to the Research, Development and License Agreement dated May 11, 2011 by and between the Registrant and Glaxo Group Limited</w:t>
              </w:r>
            </w:hyperlink>
            <w:r>
              <w:rPr>
                <w:rFonts w:ascii="Times New Roman;Times;serif" w:hAnsi="Times New Roman;Times;serif"/>
                <w:sz w:val="20"/>
              </w:rPr>
              <w:t>, filed as an exhibit to the Registrant’s Quarterly Report on Form 10-Q for the quarter ended June 30, 2011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10.34</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2">
              <w:r>
                <w:rPr>
                  <w:rStyle w:val="InternetLink"/>
                  <w:rFonts w:ascii="Times New Roman;Times;serif" w:hAnsi="Times New Roman;Times;serif"/>
                  <w:sz w:val="20"/>
                </w:rPr>
                <w:t>Amendment #2 to the Research, Development and License Agreement by and between the Registrant and Glaxo Group Limited dated October 30, 2012</w:t>
              </w:r>
            </w:hyperlink>
            <w:r>
              <w:rPr>
                <w:rFonts w:ascii="Times New Roman;Times;serif" w:hAnsi="Times New Roman;Times;serif"/>
                <w:sz w:val="20"/>
              </w:rPr>
              <w:t>, filed as an exhibit to the Registrant’s Annual Report on Form 10-K for the year ended December 31, 2012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10.35</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3">
              <w:r>
                <w:rPr>
                  <w:rStyle w:val="InternetLink"/>
                  <w:rFonts w:ascii="Times New Roman;Times;serif" w:hAnsi="Times New Roman;Times;serif"/>
                  <w:sz w:val="20"/>
                </w:rPr>
                <w:t>Amendment No. 3 to the Research, Development and License Agreement by and between the Registrant and Glaxo Group Limited dated July 10, 2013</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10.36</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4">
              <w:r>
                <w:rPr>
                  <w:rStyle w:val="InternetLink"/>
                  <w:rFonts w:ascii="Times New Roman;Times;serif" w:hAnsi="Times New Roman;Times;serif"/>
                  <w:sz w:val="20"/>
                </w:rPr>
                <w:t>Amendment #4 to the Research, Development and License Agreement by and between the Registrant and Glaxo Group Limited dated April 10, 2014</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5">
              <w:r>
                <w:rPr>
                  <w:rStyle w:val="InternetLink"/>
                  <w:rFonts w:ascii="Times New Roman;Times;serif" w:hAnsi="Times New Roman;Times;serif"/>
                  <w:sz w:val="20"/>
                </w:rPr>
                <w:t>Amendment #5 to the Research, Development and License Agreement by and between the Registrant, Glaxo Group Limited and GlaxoSmithKline Intellectual Property Development Limited dated June 27, 2014</w:t>
              </w:r>
            </w:hyperlink>
            <w:r>
              <w:rPr>
                <w:rFonts w:ascii="Times New Roman;Times;serif" w:hAnsi="Times New Roman;Times;serif"/>
                <w:sz w:val="20"/>
              </w:rPr>
              <w:t>, filed as an exhibit to the Registrant’s Quarterly Report on Form 10-Q for the quarter ended June 30, 2014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10.38</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6">
              <w:r>
                <w:rPr>
                  <w:rStyle w:val="InternetLink"/>
                  <w:rFonts w:ascii="Times New Roman;Times;serif" w:hAnsi="Times New Roman;Times;serif"/>
                  <w:sz w:val="20"/>
                </w:rPr>
                <w:t>Amendment #6 to Research, Development and License Agreement by and between the Registrant, Glaxo Group Limited and GlaxoSmithKline Intellectual Property Development Limited dated September 2,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10.39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7">
              <w:r>
                <w:rPr>
                  <w:rStyle w:val="InternetLink"/>
                  <w:rFonts w:ascii="Times New Roman;Times;serif" w:hAnsi="Times New Roman;Times;serif"/>
                  <w:sz w:val="20"/>
                </w:rPr>
                <w:t>Amendment #7 to the Research, Development and License Agreement by and between the Registrant, Glaxo Group Limited and GlaxoSmithKline Intellectual Property Development Limited dated March 4, 2016</w:t>
              </w:r>
            </w:hyperlink>
            <w:r>
              <w:rPr>
                <w:rFonts w:ascii="Times New Roman;Times;serif" w:hAnsi="Times New Roman;Times;serif"/>
                <w:sz w:val="20"/>
              </w:rPr>
              <w:t>, filed as an exhibit to the Registrant’s Quarterly Report on Form 10-Q for the quarter ended March 31, 2016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58">
              <w:r>
                <w:rPr>
                  <w:rStyle w:val="InternetLink"/>
                  <w:rFonts w:ascii="Times New Roman;Times;serif" w:hAnsi="Times New Roman;Times;serif"/>
                  <w:sz w:val="20"/>
                </w:rPr>
                <w:t>Amendment #8 to the Research, Development and License Agreement by and between the Registrant, Glaxo Group Limited and Glaxosmithkline Intellectual Property Development Limited, dated July 29, 2019</w:t>
              </w:r>
            </w:hyperlink>
            <w:r>
              <w:rPr>
                <w:rFonts w:ascii="Times New Roman;Times;serif" w:hAnsi="Times New Roman;Times;serif"/>
                <w:sz w:val="20"/>
              </w:rPr>
              <w:t>, filed as an exhibit to the Registrant’s Quarterly Report on Form 10-Q for the quarter ended September 30, 2019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59">
              <w:r>
                <w:rPr>
                  <w:rStyle w:val="InternetLink"/>
                  <w:rFonts w:ascii="Times New Roman;Times;serif" w:hAnsi="Times New Roman;Times;serif"/>
                  <w:sz w:val="20"/>
                </w:rPr>
                <w:t>Amended and Restated Collaboration and License Agreement between the Registrant and Cold Spring Harbor Laboratory dated October 26, 2011</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0">
              <w:r>
                <w:rPr>
                  <w:rStyle w:val="InternetLink"/>
                  <w:rFonts w:ascii="Times New Roman;Times;serif" w:hAnsi="Times New Roman;Times;serif"/>
                  <w:sz w:val="20"/>
                </w:rPr>
                <w:t>Amendment to Amended and Restated Collaboration and License Agreement between the Registrant and Cold Spring Harbor Laboratory dated March 14, 2014</w:t>
              </w:r>
            </w:hyperlink>
            <w:r>
              <w:rPr>
                <w:rFonts w:ascii="Times New Roman;Times;serif" w:hAnsi="Times New Roman;Times;serif"/>
                <w:sz w:val="20"/>
              </w:rPr>
              <w:t>, filed as an exhibit to the Registrant’s Quarterly Report on Form 10-Q for the quarter ended September 30, 2014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1">
              <w:r>
                <w:rPr>
                  <w:rStyle w:val="InternetLink"/>
                  <w:rFonts w:ascii="Times New Roman;Times;serif" w:hAnsi="Times New Roman;Times;serif"/>
                  <w:sz w:val="20"/>
                </w:rPr>
                <w:t>Development, Option and License Agreement between the Registrant and Biogen Idec International Holding Ltd. dated January 3, 2012</w:t>
              </w:r>
            </w:hyperlink>
            <w:r>
              <w:rPr>
                <w:rFonts w:ascii="Times New Roman;Times;serif" w:hAnsi="Times New Roman;Times;serif"/>
                <w:sz w:val="20"/>
              </w:rPr>
              <w:t>, filed as an exhibit to the Registrant’s Quarterly Report on Form 10-Q for the quarter ended March 31, 2012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2">
              <w:r>
                <w:rPr>
                  <w:rStyle w:val="InternetLink"/>
                  <w:rFonts w:ascii="Times New Roman;Times;serif" w:hAnsi="Times New Roman;Times;serif"/>
                  <w:sz w:val="20"/>
                </w:rPr>
                <w:t>Amendment #1 to the Development, Option and License Agreement between the Registrant and Biogen Idec International Holding Ltd. dated December 15, 2014</w:t>
              </w:r>
            </w:hyperlink>
            <w:r>
              <w:rPr>
                <w:rFonts w:ascii="Times New Roman;Times;serif" w:hAnsi="Times New Roman;Times;serif"/>
                <w:sz w:val="20"/>
              </w:rPr>
              <w:t>, filed as an exhibit to the Registrant’s Annual Report on Form 10-K for the year ended December 31, 2014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3">
              <w:r>
                <w:rPr>
                  <w:rStyle w:val="InternetLink"/>
                  <w:rFonts w:ascii="Times New Roman;Times;serif" w:hAnsi="Times New Roman;Times;serif"/>
                  <w:sz w:val="20"/>
                </w:rPr>
                <w:t>Collaboration, License and Development Agreement between the Registrant and AstraZeneca AB dated December 7, 2012</w:t>
              </w:r>
            </w:hyperlink>
            <w:r>
              <w:rPr>
                <w:rFonts w:ascii="Times New Roman;Times;serif" w:hAnsi="Times New Roman;Times;serif"/>
                <w:sz w:val="20"/>
              </w:rPr>
              <w:t>, filed as an exhibit to the Registrant’s Annual Report on Form 10-K for the year ended December 31, 2012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4">
              <w:r>
                <w:rPr>
                  <w:rStyle w:val="InternetLink"/>
                  <w:rFonts w:ascii="Times New Roman;Times;serif" w:hAnsi="Times New Roman;Times;serif"/>
                  <w:sz w:val="20"/>
                </w:rPr>
                <w:t>Amendment #1 to Collaboration, License and Development Agreement between the Registrant and AstraZeneca AB dated August 13, 2013</w:t>
              </w:r>
            </w:hyperlink>
            <w:r>
              <w:rPr>
                <w:rFonts w:ascii="Times New Roman;Times;serif" w:hAnsi="Times New Roman;Times;serif"/>
                <w:sz w:val="20"/>
              </w:rPr>
              <w:t>, filed as an exhibit to the Registrant’s Quarterly Report on Form 10-Q for the quarter ended September 30, 2013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5">
              <w:r>
                <w:rPr>
                  <w:rStyle w:val="InternetLink"/>
                  <w:rFonts w:ascii="Times New Roman;Times;serif" w:hAnsi="Times New Roman;Times;serif"/>
                  <w:sz w:val="20"/>
                </w:rPr>
                <w:t>Amendment No.2 to the Collaboration, License and Development Agreement between the Registrant and AstraZeneca AB dated October 15, 2014</w:t>
              </w:r>
            </w:hyperlink>
            <w:r>
              <w:rPr>
                <w:rFonts w:ascii="Times New Roman;Times;serif" w:hAnsi="Times New Roman;Times;serif"/>
                <w:sz w:val="20"/>
              </w:rPr>
              <w:t>, filed as an exhibit to the Registrant’s Annual Report on Form 10-K for the year ended December 31, 2014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6">
              <w:r>
                <w:rPr>
                  <w:rStyle w:val="InternetLink"/>
                  <w:rFonts w:ascii="Times New Roman;Times;serif" w:hAnsi="Times New Roman;Times;serif"/>
                  <w:sz w:val="20"/>
                </w:rPr>
                <w:t>Amendment No.3 to the Collaboration, License and Development Agreement between the Registrant and AstraZeneca AB dated January 18, 2016</w:t>
              </w:r>
            </w:hyperlink>
            <w:r>
              <w:rPr>
                <w:rFonts w:ascii="Times New Roman;Times;serif" w:hAnsi="Times New Roman;Times;serif"/>
                <w:sz w:val="20"/>
              </w:rPr>
              <w:t>, filed as an exhibit to the Registrant’s Quarterly Report on Form 10-Q for the quarter ended March 31, 2016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7">
              <w:r>
                <w:rPr>
                  <w:rStyle w:val="InternetLink"/>
                  <w:rFonts w:ascii="Times New Roman;Times;serif" w:hAnsi="Times New Roman;Times;serif"/>
                  <w:sz w:val="20"/>
                </w:rPr>
                <w:t>Amendment No. 4 to the Collaboration, License and Development Agreement by and between the Registrant and AstraZeneca AB dated October 18,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68">
              <w:r>
                <w:rPr>
                  <w:rStyle w:val="InternetLink"/>
                  <w:rFonts w:ascii="Times New Roman;Times;serif" w:hAnsi="Times New Roman;Times;serif"/>
                  <w:sz w:val="20"/>
                </w:rPr>
                <w:t>HTT Research, Development, Option and License Agreement among the Registrant, F. Hoffmann-La Roche Ltd and Hoffman-La Roche Inc. dated April 8, 2013</w:t>
              </w:r>
            </w:hyperlink>
            <w:r>
              <w:rPr>
                <w:rFonts w:ascii="Times New Roman;Times;serif" w:hAnsi="Times New Roman;Times;serif"/>
                <w:sz w:val="20"/>
              </w:rPr>
              <w:t>, filed as an exhibit to the Registrant’s Quarterly Report on Form 10-Q for the quarter ended March 31, 2023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69">
              <w:r>
                <w:rPr>
                  <w:rStyle w:val="InternetLink"/>
                  <w:rFonts w:ascii="Times New Roman;Times;serif" w:hAnsi="Times New Roman;Times;serif"/>
                  <w:sz w:val="20"/>
                </w:rPr>
                <w:t>Amendment #1 to HTT Research, Development, Option and License Agreement between the Registrant, F. Hoffmann-La Roche Ltd and Hoffmann-La Roche Inc. dated January 9, 2015</w:t>
              </w:r>
            </w:hyperlink>
            <w:r>
              <w:rPr>
                <w:rFonts w:ascii="Times New Roman;Times;serif" w:hAnsi="Times New Roman;Times;serif"/>
                <w:sz w:val="20"/>
              </w:rPr>
              <w:t>, filed as an exhibit to the Registrant’s Quarterly Report on Form 10-Q for the quarter ended March 31, 2015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10.52</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70">
              <w:r>
                <w:rPr>
                  <w:rStyle w:val="InternetLink"/>
                  <w:rFonts w:ascii="Times New Roman;Times;serif" w:hAnsi="Times New Roman;Times;serif"/>
                  <w:sz w:val="20"/>
                </w:rPr>
                <w:t>Second Amended and Restated Strategic Collaboration and License Agreement between the Registrant and Alnylam Pharmaceuticals, Inc. dated January 8, 2015</w:t>
              </w:r>
            </w:hyperlink>
            <w:r>
              <w:rPr>
                <w:rFonts w:ascii="Times New Roman;Times;serif" w:hAnsi="Times New Roman;Times;serif"/>
                <w:sz w:val="20"/>
              </w:rPr>
              <w:t>, filed as an exhibit to the Registrant’s Quarterly Report on Form 10-Q for the quarter ended March 31, 2015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10.53</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71">
              <w:r>
                <w:rPr>
                  <w:rStyle w:val="InternetLink"/>
                  <w:rFonts w:ascii="Times New Roman;Times;serif" w:hAnsi="Times New Roman;Times;serif"/>
                  <w:sz w:val="20"/>
                </w:rPr>
                <w:t>Amendment Number One to the Second Amended and Restated Strategic Collaboration and License Agreement between the Registrant and Alnylam Pharmaceuticals, Inc. dated July 13,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10.54</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72">
              <w:r>
                <w:rPr>
                  <w:rStyle w:val="InternetLink"/>
                  <w:rFonts w:ascii="Times New Roman;Times;serif" w:hAnsi="Times New Roman;Times;serif"/>
                  <w:sz w:val="20"/>
                </w:rPr>
                <w:t>Strategic Collaboration Agreement between the Registrant and AstraZeneca AB dated July 31, 2015</w:t>
              </w:r>
            </w:hyperlink>
            <w:r>
              <w:rPr>
                <w:rFonts w:ascii="Times New Roman;Times;serif" w:hAnsi="Times New Roman;Times;serif"/>
                <w:sz w:val="20"/>
              </w:rPr>
              <w:t>, filed as an exhibit to the Registrant’s Quarterly Report on Form 10-Q for the quarter ended September 30, 2015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10.55</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73">
              <w:r>
                <w:rPr>
                  <w:rStyle w:val="InternetLink"/>
                  <w:rFonts w:ascii="Times New Roman;Times;serif" w:hAnsi="Times New Roman;Times;serif"/>
                  <w:sz w:val="20"/>
                </w:rPr>
                <w:t>Amendment No. 1 to the Strategic Collaboration Agreement by and between the Registrant and AstraZeneca AB, dated October 18,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10.56</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74">
              <w:r>
                <w:rPr>
                  <w:rStyle w:val="InternetLink"/>
                  <w:rFonts w:ascii="Times New Roman;Times;serif" w:hAnsi="Times New Roman;Times;serif"/>
                  <w:sz w:val="20"/>
                  <w:u w:val="single"/>
                </w:rPr>
                <w:t xml:space="preserve">Amendment No. 2 dated April 30, </w:t>
              </w:r>
            </w:hyperlink>
            <w:hyperlink r:id="rId75">
              <w:r>
                <w:rPr>
                  <w:rStyle w:val="InternetLink"/>
                  <w:rFonts w:ascii="Times New Roman;Times;serif" w:hAnsi="Times New Roman;Times;serif"/>
                  <w:sz w:val="20"/>
                </w:rPr>
                <w:t>2020</w:t>
              </w:r>
            </w:hyperlink>
            <w:hyperlink r:id="rId76">
              <w:r>
                <w:rPr>
                  <w:rStyle w:val="InternetLink"/>
                  <w:rFonts w:ascii="Times New Roman;Times;serif" w:hAnsi="Times New Roman;Times;serif"/>
                  <w:sz w:val="20"/>
                  <w:u w:val="single"/>
                </w:rPr>
                <w:t xml:space="preserve"> to the Strategic Collaboration Agreement by and between the Registrant and AstraZeneca AB dated July 31, 2015</w:t>
              </w:r>
            </w:hyperlink>
            <w:r>
              <w:rPr>
                <w:rFonts w:ascii="Times New Roman;Times;serif" w:hAnsi="Times New Roman;Times;serif"/>
                <w:sz w:val="20"/>
              </w:rPr>
              <w:t>, filed as an exhibit to the Registrant’s Quarterly Report on Form 10-Q for the quarter ended June 30, 2020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77">
              <w:r>
                <w:rPr>
                  <w:rStyle w:val="InternetLink"/>
                  <w:rFonts w:ascii="Times New Roman;Times;serif" w:hAnsi="Times New Roman;Times;serif"/>
                  <w:sz w:val="20"/>
                  <w:u w:val="single"/>
                </w:rPr>
                <w:t xml:space="preserve">Amendment No. 3 dated December 17, </w:t>
              </w:r>
            </w:hyperlink>
            <w:hyperlink r:id="rId78">
              <w:r>
                <w:rPr>
                  <w:rStyle w:val="InternetLink"/>
                  <w:rFonts w:ascii="Times New Roman;Times;serif" w:hAnsi="Times New Roman;Times;serif"/>
                  <w:sz w:val="20"/>
                </w:rPr>
                <w:t>2020</w:t>
              </w:r>
            </w:hyperlink>
            <w:hyperlink r:id="rId79">
              <w:r>
                <w:rPr>
                  <w:rStyle w:val="InternetLink"/>
                  <w:rFonts w:ascii="Times New Roman;Times;serif" w:hAnsi="Times New Roman;Times;serif"/>
                  <w:sz w:val="20"/>
                  <w:u w:val="single"/>
                </w:rPr>
                <w:t xml:space="preserve"> to the Strategic Collaboration Agreement by and between the Registrant and AstraZeneca AB dated July 31, 2015</w:t>
              </w:r>
            </w:hyperlink>
            <w:r>
              <w:rPr>
                <w:rFonts w:ascii="Times New Roman;Times;serif" w:hAnsi="Times New Roman;Times;serif"/>
                <w:sz w:val="20"/>
              </w:rPr>
              <w:t>, filed as an exhibit to the Registrant’s Annual Report on Form 10-K for the year ended December 31, 2020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pPr>
            <w:hyperlink w:anchor="exhibit10-58.htm">
              <w:r>
                <w:rPr>
                  <w:rStyle w:val="InternetLink"/>
                  <w:rFonts w:ascii="Times New Roman;Times;serif" w:hAnsi="Times New Roman;Times;serif"/>
                  <w:sz w:val="20"/>
                </w:rPr>
                <w:t>10.58</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u w:val="single"/>
              </w:rPr>
              <w:t>Amendment No. 4 dated December 23, 2024 to the Strategic Collaboration Agreement by and between the Registrant and AstraZeneca AB dated July 31, 2015.</w:t>
            </w:r>
            <w:r>
              <w:rPr>
                <w:rFonts w:ascii="Times New Roman;Times;serif" w:hAnsi="Times New Roman;Times;serif"/>
                <w:sz w:val="20"/>
              </w:rPr>
              <w:t xml:space="preserv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10.59</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0">
              <w:r>
                <w:rPr>
                  <w:rStyle w:val="InternetLink"/>
                  <w:rFonts w:ascii="Times New Roman;Times;serif" w:hAnsi="Times New Roman;Times;serif"/>
                  <w:sz w:val="20"/>
                </w:rPr>
                <w:t>Strategic Collaboration, Option and License Agreement by and among Akcea Therapeutics, Inc. and Novartis Pharma AG, dated January 5, 2017</w:t>
              </w:r>
            </w:hyperlink>
            <w:r>
              <w:rPr>
                <w:rFonts w:ascii="Times New Roman;Times;serif" w:hAnsi="Times New Roman;Times;serif"/>
                <w:sz w:val="20"/>
              </w:rPr>
              <w:t>, filed as an exhibit to Akcea Therapeutics, Inc.’s Form S-1 filed March 27, 2017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10.60</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1">
              <w:r>
                <w:rPr>
                  <w:rStyle w:val="InternetLink"/>
                  <w:rFonts w:ascii="Times New Roman;Times;serif" w:hAnsi="Times New Roman;Times;serif"/>
                  <w:sz w:val="20"/>
                </w:rPr>
                <w:t>Amendment No. 1 to the Strategic Collaboration, Option and License Agreement between Akcea Therapeutics, Inc. and Novartis Pharma AG dated February 22, 2019</w:t>
              </w:r>
            </w:hyperlink>
            <w:r>
              <w:rPr>
                <w:rFonts w:ascii="Times New Roman;Times;serif" w:hAnsi="Times New Roman;Times;serif"/>
                <w:sz w:val="20"/>
              </w:rPr>
              <w:t>, filed as an exhibit to Akcea Therapeutics, Inc.’s Quarterly Report on Form 10-Q for the quarter ended March 30, 2019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2">
              <w:r>
                <w:rPr>
                  <w:rStyle w:val="InternetLink"/>
                  <w:rFonts w:ascii="Times New Roman;Times;serif" w:hAnsi="Times New Roman;Times;serif"/>
                  <w:sz w:val="20"/>
                </w:rPr>
                <w:t>Stock Purchase Agreement among the Registrant, Akcea Therapeutics, Inc. and Novartis Pharma AG</w:t>
              </w:r>
            </w:hyperlink>
            <w:r>
              <w:rPr>
                <w:rFonts w:ascii="Times New Roman;Times;serif" w:hAnsi="Times New Roman;Times;serif"/>
                <w:sz w:val="20"/>
              </w:rPr>
              <w:t xml:space="preserve"> dated January 5, 2017, filed as an exhibit to the Registrant’s Quarterly Report on Form 10-Q for the quarter ended March 31, 2017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10.62</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3">
              <w:r>
                <w:rPr>
                  <w:rStyle w:val="InternetLink"/>
                  <w:rFonts w:ascii="Times New Roman;Times;serif" w:hAnsi="Times New Roman;Times;serif"/>
                  <w:sz w:val="20"/>
                </w:rPr>
                <w:t>Research Collaboration, Option and License Agreement between the Registrant and Biogen MA Inc.</w:t>
              </w:r>
            </w:hyperlink>
            <w:r>
              <w:rPr>
                <w:rFonts w:ascii="Times New Roman;Times;serif" w:hAnsi="Times New Roman;Times;serif"/>
                <w:sz w:val="20"/>
              </w:rPr>
              <w:t xml:space="preserve"> dated December 19, 2017, filed as an exhibit to the Registrant’s Annual Report on Form 10-K for the year ended December 31, 2017 and incorporated herein by reference. Portions of this exhibit have been omitted and separately filed with the SEC with a request for confidential treatment.</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10.63</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4">
              <w:r>
                <w:rPr>
                  <w:rStyle w:val="InternetLink"/>
                  <w:rFonts w:ascii="Times New Roman;Times;serif" w:hAnsi="Times New Roman;Times;serif"/>
                  <w:sz w:val="20"/>
                </w:rPr>
                <w:t>New Strategic Neurology Drug Discovery and Development Collaboration, Option and License Agreement by and between the Registrant and Biogen MA Inc.</w:t>
              </w:r>
            </w:hyperlink>
            <w:r>
              <w:rPr>
                <w:rFonts w:ascii="Times New Roman;Times;serif" w:hAnsi="Times New Roman;Times;serif"/>
                <w:sz w:val="20"/>
              </w:rPr>
              <w:t>, dated April 19, 2018, filed as an exhibit to the Registrant’s Quarterly Report on Form 10-Q for the quarter ended June 30,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10.64</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5">
              <w:r>
                <w:rPr>
                  <w:rStyle w:val="InternetLink"/>
                  <w:rFonts w:ascii="Times New Roman;Times;serif" w:hAnsi="Times New Roman;Times;serif"/>
                  <w:sz w:val="20"/>
                </w:rPr>
                <w:t>Amendment No. 1 to the New Strategic Neurology Drug Discovery and Development Collaboration, Option and License Agreement between the Registrant and Biogen MA Inc., dated August 16, 2019</w:t>
              </w:r>
            </w:hyperlink>
            <w:r>
              <w:rPr>
                <w:rFonts w:ascii="Times New Roman;Times;serif" w:hAnsi="Times New Roman;Times;serif"/>
                <w:sz w:val="20"/>
              </w:rPr>
              <w:t>, filed as an exhibit to the Registrant’s Quarterly Report on Form 10-Q for the quarter ended September 30, 2019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86">
              <w:r>
                <w:rPr>
                  <w:rStyle w:val="InternetLink"/>
                  <w:rFonts w:ascii="Times New Roman;Times;serif" w:hAnsi="Times New Roman;Times;serif"/>
                  <w:sz w:val="20"/>
                  <w:u w:val="single"/>
                </w:rPr>
                <w:t xml:space="preserve">Side Letter dated December 31, </w:t>
              </w:r>
            </w:hyperlink>
            <w:hyperlink r:id="rId87">
              <w:r>
                <w:rPr>
                  <w:rStyle w:val="InternetLink"/>
                  <w:rFonts w:ascii="Times New Roman;Times;serif" w:hAnsi="Times New Roman;Times;serif"/>
                  <w:sz w:val="20"/>
                </w:rPr>
                <w:t>2020</w:t>
              </w:r>
            </w:hyperlink>
            <w:hyperlink r:id="rId88">
              <w:r>
                <w:rPr>
                  <w:rStyle w:val="InternetLink"/>
                  <w:rFonts w:ascii="Times New Roman;Times;serif" w:hAnsi="Times New Roman;Times;serif"/>
                  <w:sz w:val="20"/>
                  <w:u w:val="single"/>
                </w:rPr>
                <w:t xml:space="preserve"> to the New Strategic Neurology Drug Discovery and Development Collaboration, Option and License Agreement by and between the Registrant and Biogen MA Inc. dated April 19, 2018</w:t>
              </w:r>
            </w:hyperlink>
            <w:r>
              <w:rPr>
                <w:rFonts w:ascii="Times New Roman;Times;serif" w:hAnsi="Times New Roman;Times;serif"/>
                <w:sz w:val="20"/>
              </w:rPr>
              <w:t>, filed as an exhibit to the Registrant’s Annual Report on Form 10-K for the year ended December 31, 2020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89">
              <w:r>
                <w:rPr>
                  <w:rStyle w:val="InternetLink"/>
                  <w:rFonts w:ascii="Times New Roman;Times;serif" w:hAnsi="Times New Roman;Times;serif"/>
                  <w:sz w:val="20"/>
                </w:rPr>
                <w:t>Factor B Development Collaboration, Option and License Agreement by and among the Registrant, F. Hoffmann-La Roche Ltd and Hoffmann-La Roche Inc., dated October 9, 2018,</w:t>
              </w:r>
            </w:hyperlink>
            <w:r>
              <w:rPr>
                <w:rFonts w:ascii="Times New Roman;Times;serif" w:hAnsi="Times New Roman;Times;serif"/>
                <w:sz w:val="20"/>
              </w:rPr>
              <w:t xml:space="preserve">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0">
              <w:r>
                <w:rPr>
                  <w:rStyle w:val="InternetLink"/>
                  <w:rFonts w:ascii="Times New Roman;Times;serif" w:hAnsi="Times New Roman;Times;serif"/>
                  <w:sz w:val="20"/>
                </w:rPr>
                <w:t>First Amendment dated July 8, 2022 to Factor B Development, Collaboration, Option and License Agreement by and between the Registrant, F. Hoffmann-La Roche Ltd and Hoffmann-La Roche Inc.</w:t>
              </w:r>
            </w:hyperlink>
            <w:r>
              <w:rPr>
                <w:rFonts w:ascii="Times New Roman;Times;serif" w:hAnsi="Times New Roman;Times;serif"/>
                <w:sz w:val="20"/>
              </w:rPr>
              <w:t>, dated October 9, 2018, filed as an exhibit to the Registrant’s Quarterly Report on Form 10-Q for the quarter ended June 30, 2022.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10.68</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1">
              <w:r>
                <w:rPr>
                  <w:rStyle w:val="InternetLink"/>
                  <w:rFonts w:ascii="Times New Roman;Times;serif" w:hAnsi="Times New Roman;Times;serif"/>
                  <w:sz w:val="20"/>
                </w:rPr>
                <w:t>Second Amended and Restated Strategic Neurology Drug Discovery and Development Collaboration, Option and License Agreement by and between the Registrant and Biogen MA Inc., dated October 17, 2018</w:t>
              </w:r>
            </w:hyperlink>
            <w:r>
              <w:rPr>
                <w:rFonts w:ascii="Times New Roman;Times;serif" w:hAnsi="Times New Roman;Times;serif"/>
                <w:sz w:val="20"/>
              </w:rPr>
              <w:t>, filed as an exhibit to the Registrant’s Annual Report on Form 10-K for the year ended December 31, 2018 and incorporated herein by reference. Portions of this exhibit have been omitted and separately filed with the SEC with a request for confidential treatment.</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10.69</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2">
              <w:r>
                <w:rPr>
                  <w:rStyle w:val="InternetLink"/>
                  <w:rFonts w:ascii="Times New Roman;Times;serif" w:hAnsi="Times New Roman;Times;serif"/>
                  <w:sz w:val="20"/>
                </w:rPr>
                <w:t>Letter Agreement between the Registrant and Biogen MA Inc. dated October 28, 2016</w:t>
              </w:r>
            </w:hyperlink>
            <w:r>
              <w:rPr>
                <w:rFonts w:ascii="Times New Roman;Times;serif" w:hAnsi="Times New Roman;Times;serif"/>
                <w:sz w:val="20"/>
              </w:rPr>
              <w:t>, filed as an exhibit to the Registrant’s Annual Report on Form 10-K for the year ended December 31, 2016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10.70</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3">
              <w:r>
                <w:rPr>
                  <w:rStyle w:val="InternetLink"/>
                  <w:rFonts w:ascii="Times New Roman;Times;serif" w:hAnsi="Times New Roman;Times;serif"/>
                  <w:sz w:val="20"/>
                </w:rPr>
                <w:t>Amendment No. 1 to Second Amended and Restated Strategic Neurology Drug Discovery and Development Collaboration, Option and License Agreement by and between the Registrant and Biogen MA Inc., dated May 2, 2019</w:t>
              </w:r>
            </w:hyperlink>
            <w:r>
              <w:rPr>
                <w:rFonts w:ascii="Times New Roman;Times;serif" w:hAnsi="Times New Roman;Times;serif"/>
                <w:sz w:val="20"/>
              </w:rPr>
              <w:t>, filed as an exhibit to the Registrant’s Quarterly Report on Form 10-Q for the quarter ended June 30, 2019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4">
              <w:r>
                <w:rPr>
                  <w:rStyle w:val="InternetLink"/>
                  <w:rFonts w:ascii="Times New Roman;Times;serif" w:hAnsi="Times New Roman;Times;serif"/>
                  <w:sz w:val="20"/>
                </w:rPr>
                <w:t>Collaboration and License Agreement by and between the Registrant and Novartis Pharma AG dated as of August 2,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10.72</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5">
              <w:r>
                <w:rPr>
                  <w:rStyle w:val="InternetLink"/>
                  <w:rFonts w:ascii="Times New Roman;Times;serif" w:hAnsi="Times New Roman;Times;serif"/>
                  <w:sz w:val="20"/>
                </w:rPr>
                <w:t>Research, Development, and License Agreement by and among the Registrant, F. Hoffmann-La Roche Ltd., and Hoffmann-La Roche Inc. dated as of September 26, 2023</w:t>
              </w:r>
            </w:hyperlink>
            <w:r>
              <w:rPr>
                <w:rFonts w:ascii="Times New Roman;Times;serif" w:hAnsi="Times New Roman;Times;serif"/>
                <w:sz w:val="20"/>
              </w:rPr>
              <w:t>, filed as an exhibit to the Registrant’s Quarterly Report on Form 10-Q for the quarter ended September 30, 2023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10.73</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6">
              <w:r>
                <w:rPr>
                  <w:rStyle w:val="InternetLink"/>
                  <w:rFonts w:ascii="Times New Roman;Times;serif" w:hAnsi="Times New Roman;Times;serif"/>
                  <w:sz w:val="20"/>
                </w:rPr>
                <w:t>Side Letter dated June 11, 2020 to the Second Amended and Restated Strategic Neurology Drug Discovery and Development Collaboration, Option and License Agreement by and between the Registrant and Biogen MA Inc. dated October 17, 2018</w:t>
              </w:r>
            </w:hyperlink>
            <w:r>
              <w:rPr>
                <w:rFonts w:ascii="Times New Roman;Times;serif" w:hAnsi="Times New Roman;Times;serif"/>
                <w:sz w:val="20"/>
              </w:rPr>
              <w:t>, filed as an exhibit to the Registrant’s Quarterly Report on Form 10-Q for the quarter ended June 30, 2020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7">
              <w:r>
                <w:rPr>
                  <w:rStyle w:val="InternetLink"/>
                  <w:rFonts w:ascii="Times New Roman;Times;serif" w:hAnsi="Times New Roman;Times;serif"/>
                  <w:sz w:val="20"/>
                </w:rPr>
                <w:t>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September 30, 2021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10.75</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98">
              <w:r>
                <w:rPr>
                  <w:rStyle w:val="InternetLink"/>
                  <w:rFonts w:ascii="Times New Roman;Times;serif" w:hAnsi="Times New Roman;Times;serif"/>
                  <w:sz w:val="20"/>
                </w:rPr>
                <w:t>Amendment No. 1 dated December 17, 2021 to the Collaboration and License Agreement by and between the Registrant and BicycleTX Limited dated July 9, 2021</w:t>
              </w:r>
            </w:hyperlink>
            <w:r>
              <w:rPr>
                <w:rFonts w:ascii="Times New Roman;Times;serif" w:hAnsi="Times New Roman;Times;serif"/>
                <w:sz w:val="20"/>
              </w:rPr>
              <w:t>, filed as an exhibit to the Registrant’s Annual Report on Form 10-K for the year ended December 31, 2021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10.76</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99">
              <w:r>
                <w:rPr>
                  <w:rStyle w:val="InternetLink"/>
                  <w:rFonts w:ascii="Times New Roman;Times;serif" w:hAnsi="Times New Roman;Times;serif"/>
                  <w:sz w:val="20"/>
                </w:rPr>
                <w:t>Amendment No. 2 dated July 28, 2022 to the 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September 30,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10.77</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00">
              <w:r>
                <w:rPr>
                  <w:rStyle w:val="InternetLink"/>
                  <w:rFonts w:ascii="Times New Roman;Times;serif" w:hAnsi="Times New Roman;Times;serif"/>
                  <w:sz w:val="20"/>
                </w:rPr>
                <w:t>Amendment No. 3 dated April 27, 2023 to the Collaboration and License Agreement by and between the Registrant and BicycleTx Limited dated July 9, 2021</w:t>
              </w:r>
            </w:hyperlink>
            <w:r>
              <w:rPr>
                <w:rFonts w:ascii="Times New Roman;Times;serif" w:hAnsi="Times New Roman;Times;serif"/>
                <w:sz w:val="20"/>
              </w:rPr>
              <w:t>, filed as an exhibit to the Registrant’s Quarterly Report on Form 10-Q for the quarter ended June 30, 2023 and incorporated herein by reference. Portions of this exhibit have been omitted because they are both (i) not material and (ii) the type that the Registrant treats as private or confidential.</w:t>
            </w:r>
          </w:p>
        </w:tc>
      </w:tr>
    </w:tbl>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Normal"/>
        <w:bidi w:val="0"/>
        <w:spacing w:before="0" w:after="0"/>
        <w:jc w:val="left"/>
        <w:rPr>
          <w:sz w:val="4"/>
          <w:szCs w:val="4"/>
        </w:rPr>
      </w:pPr>
      <w:r>
        <w:rPr>
          <w:sz w:val="4"/>
          <w:szCs w:val="4"/>
        </w:rPr>
      </w:r>
      <w:bookmarkStart w:id="34" w:name="_Hlk186622894"/>
      <w:bookmarkStart w:id="35" w:name="_Hlk186622894"/>
      <w:bookmarkEnd w:id="35"/>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10.78</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01">
              <w:r>
                <w:rPr>
                  <w:rStyle w:val="InternetLink"/>
                  <w:rFonts w:ascii="Times New Roman;Times;serif" w:hAnsi="Times New Roman;Times;serif"/>
                  <w:sz w:val="20"/>
                </w:rPr>
                <w:t>Amended and Restated Neurology Drug Discovery and Development Collaboration, Option and License Agreement by and between the Registrant and Biogen MA Inc. dated July 12, 2021</w:t>
              </w:r>
            </w:hyperlink>
            <w:r>
              <w:rPr>
                <w:rFonts w:ascii="Times New Roman;Times;serif" w:hAnsi="Times New Roman;Times;serif"/>
                <w:sz w:val="20"/>
              </w:rPr>
              <w:t>, filed as an exhibit to the Registrant’s Quarterly Report on Form 10-Q for the quarter ended September 30, 2021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10.79</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02">
              <w:r>
                <w:rPr>
                  <w:rStyle w:val="InternetLink"/>
                  <w:rFonts w:ascii="Times New Roman;Times;serif" w:hAnsi="Times New Roman;Times;serif"/>
                  <w:sz w:val="20"/>
                </w:rPr>
                <w:t>Collaboration and License Agreement by and between Akcea Therapeutics, Inc. and AstraZeneca AB dated December 6, 2021</w:t>
              </w:r>
            </w:hyperlink>
            <w:r>
              <w:rPr>
                <w:rFonts w:ascii="Times New Roman;Times;serif" w:hAnsi="Times New Roman;Times;serif"/>
                <w:sz w:val="20"/>
              </w:rPr>
              <w:t>, filed as an exhibit to the Registrant’s Annual Report on Form 10-K for the year ended December 31, 2021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10.80</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03">
              <w:r>
                <w:rPr>
                  <w:rStyle w:val="InternetLink"/>
                  <w:rFonts w:ascii="Times New Roman;Times;serif" w:hAnsi="Times New Roman;Times;serif"/>
                  <w:sz w:val="20"/>
                </w:rPr>
                <w:t>Letter Agreement dated June 29, 2023 in reference to the Collaboration and License Agreement dated December 6, 2021 by and between Akcea Therapeutics, Inc. and AstraZeneca AB</w:t>
              </w:r>
            </w:hyperlink>
            <w:r>
              <w:rPr>
                <w:rFonts w:ascii="Times New Roman;Times;serif" w:hAnsi="Times New Roman;Times;serif"/>
                <w:sz w:val="20"/>
              </w:rPr>
              <w:t>, filed as an exhibit to the Registrant’s Quarterly Report on Form 10-Q for the quarter ended June 30, 2023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04">
              <w:r>
                <w:rPr>
                  <w:rStyle w:val="InternetLink"/>
                  <w:rFonts w:ascii="Times New Roman;Times;serif" w:hAnsi="Times New Roman;Times;serif"/>
                  <w:sz w:val="20"/>
                </w:rPr>
                <w:t>Collaboration and License Agreement between the Registrant and Metagenomi, Inc. dated November 10, 2022</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10.82</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pPr>
            <w:hyperlink r:id="rId105">
              <w:r>
                <w:rPr>
                  <w:rStyle w:val="InternetLink"/>
                  <w:rFonts w:ascii="Times New Roman;Times;serif" w:hAnsi="Times New Roman;Times;serif"/>
                  <w:sz w:val="20"/>
                </w:rPr>
                <w:t>Royalty Purchase Agreement by and between the Registrant, Akcea Therapeutics, Inc. and Royalty Pharma Investments 2019 ICAV dated as of January 9, 2023</w:t>
              </w:r>
            </w:hyperlink>
            <w:r>
              <w:rPr>
                <w:rFonts w:ascii="Times New Roman;Times;serif" w:hAnsi="Times New Roman;Times;serif"/>
                <w:sz w:val="20"/>
              </w:rPr>
              <w:t>, filed as an exhibit to the Registrant’s Annual Report on Form 10-K for the year ended December 31, 2022 and incorporated herein by reference. Portions of this exhibit have been omitted because they are both (i) not material and (ii) the type that the Registrant treats as private or confidential.</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10.83</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06">
              <w:r>
                <w:rPr>
                  <w:rStyle w:val="InternetLink"/>
                  <w:rFonts w:ascii="Times New Roman;Times;serif" w:hAnsi="Times New Roman;Times;serif"/>
                  <w:sz w:val="20"/>
                </w:rPr>
                <w:t>Amended and Restated License Agreement by and between the Registrant and Otsuka Pharmaceutical Co., Ltd. dated June 18, 2024</w:t>
              </w:r>
            </w:hyperlink>
            <w:r>
              <w:rPr>
                <w:rFonts w:ascii="Times New Roman;Times;serif" w:hAnsi="Times New Roman;Times;serif"/>
                <w:sz w:val="20"/>
              </w:rPr>
              <w:t>, filed as an exhibit to the Registrant’s Quarterly Report on Form 10-Q for the quarter ended June 30, 2024 and incorporated herein by reference. Portions of this exhibit have been omitted because they are both (i) not material and (ii) the type that the Registrant treats as private or confidential.</w:t>
            </w:r>
          </w:p>
        </w:tc>
      </w:tr>
      <w:tr>
        <w:trPr/>
        <w:tc>
          <w:tcPr>
            <w:tcW w:w="500" w:type="dxa"/>
            <w:tcBorders/>
            <w:shd w:fill="CCEEFF" w:val="clear"/>
            <w:vAlign w:val="center"/>
          </w:tcPr>
          <w:p>
            <w:pPr>
              <w:pStyle w:val="TableContents"/>
              <w:bidi w:val="0"/>
              <w:spacing w:before="0" w:after="0"/>
              <w:jc w:val="left"/>
              <w:rPr/>
            </w:pPr>
            <w:hyperlink w:anchor="exhibit19.htm">
              <w:r>
                <w:rPr>
                  <w:rStyle w:val="InternetLink"/>
                  <w:rFonts w:ascii="Times New Roman;Times;serif" w:hAnsi="Times New Roman;Times;serif"/>
                  <w:sz w:val="20"/>
                </w:rPr>
                <w:t>19</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Registrant’s Insider Trading Policy.</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07">
              <w:r>
                <w:rPr>
                  <w:rStyle w:val="InternetLink"/>
                  <w:rFonts w:ascii="Times New Roman;Times;serif" w:hAnsi="Times New Roman;Times;serif"/>
                  <w:sz w:val="20"/>
                </w:rPr>
                <w:t>List of Subsidiaries for the Registrant</w:t>
              </w:r>
            </w:hyperlink>
            <w:r>
              <w:rPr>
                <w:rFonts w:ascii="Times New Roman;Times;serif" w:hAnsi="Times New Roman;Times;serif"/>
                <w:sz w:val="20"/>
              </w:rPr>
              <w:t>, filed as an exhibit to the Registrant’s Annual Report on Form 10-K for the year ended December 31, 2023 and incorporated herein by reference.</w:t>
            </w:r>
          </w:p>
        </w:tc>
      </w:tr>
      <w:tr>
        <w:trPr/>
        <w:tc>
          <w:tcPr>
            <w:tcW w:w="500" w:type="dxa"/>
            <w:tcBorders/>
            <w:shd w:fill="CCEEFF" w:val="clear"/>
            <w:vAlign w:val="center"/>
          </w:tcPr>
          <w:p>
            <w:pPr>
              <w:pStyle w:val="TableContents"/>
              <w:bidi w:val="0"/>
              <w:spacing w:before="0" w:after="0"/>
              <w:jc w:val="left"/>
              <w:rPr/>
            </w:pPr>
            <w:hyperlink w:anchor="exhibit23-1.htm">
              <w:r>
                <w:rPr>
                  <w:rStyle w:val="InternetLink"/>
                  <w:rFonts w:ascii="Times New Roman;Times;serif" w:hAnsi="Times New Roman;Times;serif"/>
                  <w:sz w:val="20"/>
                </w:rPr>
                <w:t>23.1</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Consent of Independent Registered Public Accounting Firm.</w:t>
            </w:r>
          </w:p>
        </w:tc>
      </w:tr>
      <w:tr>
        <w:trPr/>
        <w:tc>
          <w:tcPr>
            <w:tcW w:w="500" w:type="dxa"/>
            <w:tcBorders/>
            <w:shd w:fill="FFFFFF" w:val="clear"/>
            <w:vAlign w:val="center"/>
          </w:tcPr>
          <w:p>
            <w:pPr>
              <w:pStyle w:val="TableContents"/>
              <w:bidi w:val="0"/>
              <w:spacing w:before="0" w:after="0"/>
              <w:jc w:val="left"/>
              <w:rPr/>
            </w:pPr>
            <w:hyperlink w:anchor="POWEROFATTORNEY">
              <w:r>
                <w:rPr>
                  <w:rStyle w:val="InternetLink"/>
                  <w:rFonts w:ascii="Times New Roman;Times;serif" w:hAnsi="Times New Roman;Times;serif"/>
                  <w:sz w:val="20"/>
                </w:rPr>
                <w:t>24.1</w:t>
              </w:r>
            </w:hyperlink>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Power of Attorney – Included on the signature page of this Annual Report on Form 10-K.</w:t>
            </w:r>
          </w:p>
        </w:tc>
      </w:tr>
      <w:tr>
        <w:trPr/>
        <w:tc>
          <w:tcPr>
            <w:tcW w:w="500" w:type="dxa"/>
            <w:tcBorders/>
            <w:shd w:fill="CCEEFF" w:val="clear"/>
            <w:vAlign w:val="center"/>
          </w:tcPr>
          <w:p>
            <w:pPr>
              <w:pStyle w:val="TableContents"/>
              <w:bidi w:val="0"/>
              <w:spacing w:before="0" w:after="0"/>
              <w:jc w:val="left"/>
              <w:rPr/>
            </w:pPr>
            <w:hyperlink w:anchor="exhibit31-1.htm">
              <w:r>
                <w:rPr>
                  <w:rStyle w:val="InternetLink"/>
                  <w:rFonts w:ascii="Times New Roman;Times;serif" w:hAnsi="Times New Roman;Times;serif"/>
                  <w:sz w:val="20"/>
                </w:rPr>
                <w:t>31.1</w:t>
              </w:r>
            </w:hyperlink>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Chief Executive Officer Pursuant to 18 U.S.C. Section 1350 as Adopted Pursuant to Section 302 of the Sarbanes-Oxley Act of 2002.</w:t>
            </w:r>
          </w:p>
        </w:tc>
      </w:tr>
      <w:tr>
        <w:trPr/>
        <w:tc>
          <w:tcPr>
            <w:tcW w:w="500" w:type="dxa"/>
            <w:tcBorders/>
            <w:shd w:fill="FFFFFF" w:val="clear"/>
            <w:vAlign w:val="center"/>
          </w:tcPr>
          <w:p>
            <w:pPr>
              <w:pStyle w:val="TableContents"/>
              <w:bidi w:val="0"/>
              <w:spacing w:before="0" w:after="0"/>
              <w:jc w:val="left"/>
              <w:rPr/>
            </w:pPr>
            <w:hyperlink w:anchor="exhibit31-2.htm">
              <w:r>
                <w:rPr>
                  <w:rStyle w:val="InternetLink"/>
                  <w:rFonts w:ascii="Times New Roman;Times;serif" w:hAnsi="Times New Roman;Times;serif"/>
                  <w:sz w:val="20"/>
                </w:rPr>
                <w:t>31.2</w:t>
              </w:r>
            </w:hyperlink>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by Chief Financial Officer Pursuant to 18 U.S.C. Section 1350 as Adopted Pursuant to Section 302 of the Sarbanes-Oxley Act of 2002.</w:t>
            </w:r>
          </w:p>
        </w:tc>
      </w:tr>
      <w:tr>
        <w:trPr/>
        <w:tc>
          <w:tcPr>
            <w:tcW w:w="500" w:type="dxa"/>
            <w:tcBorders/>
            <w:shd w:fill="CCEEFF" w:val="clear"/>
            <w:vAlign w:val="center"/>
          </w:tcPr>
          <w:p>
            <w:pPr>
              <w:pStyle w:val="TableContents"/>
              <w:bidi w:val="0"/>
              <w:spacing w:before="0" w:after="0"/>
              <w:jc w:val="left"/>
              <w:rPr/>
            </w:pPr>
            <w:hyperlink w:anchor="exhibit32-1.htm">
              <w:r>
                <w:rPr>
                  <w:rStyle w:val="InternetLink"/>
                  <w:rFonts w:ascii="Times New Roman;Times;serif" w:hAnsi="Times New Roman;Times;serif"/>
                  <w:sz w:val="20"/>
                </w:rPr>
                <w:t>32.1</w:t>
              </w:r>
            </w:hyperlink>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Certification Pursuant to 18 U.S.C. Section 1350 as Adopted Pursuant to Section 906 of the Sarbanes-Oxley Act of 2002.</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both"/>
              <w:rPr/>
            </w:pPr>
            <w:hyperlink r:id="rId108">
              <w:r>
                <w:rPr>
                  <w:rStyle w:val="InternetLink"/>
                  <w:rFonts w:ascii="Times New Roman;Times;serif" w:hAnsi="Times New Roman;Times;serif"/>
                  <w:sz w:val="20"/>
                </w:rPr>
                <w:t>Registrant’s Amended and Restated Clawback Policy</w:t>
              </w:r>
            </w:hyperlink>
            <w:r>
              <w:rPr>
                <w:rFonts w:ascii="Times New Roman;Times;serif" w:hAnsi="Times New Roman;Times;serif"/>
                <w:sz w:val="20"/>
              </w:rPr>
              <w:t>, filed as an exhibit to the Registrant’s Annual Report on Form 10-K for the year ended December 31, 2023 and incorporated herein by reference.</w:t>
            </w:r>
          </w:p>
        </w:tc>
      </w:tr>
      <w:tr>
        <w:trPr/>
        <w:tc>
          <w:tcPr>
            <w:tcW w:w="50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9645" w:type="dxa"/>
            <w:tcBorders/>
            <w:shd w:fill="CCEEFF" w:val="cle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following financial statements from the Ionis Pharmaceuticals, Inc. Annual Report on Form 10-K for the year ended December 31, 2024, formatted in Extensive Business Reporting Language (XBRL): (i) consolidated balance sheets, (ii) consolidated statements of operations, (iii) consolidated statements of comprehensive income (loss), (iv) consolidated statements of stockholders’ equity (v) consolidated statements of cash flows, and (vi) notes to consolidated financial statements (detail tagged).</w:t>
            </w:r>
          </w:p>
        </w:tc>
      </w:tr>
      <w:tr>
        <w:trPr/>
        <w:tc>
          <w:tcPr>
            <w:tcW w:w="50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9645"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Indicates management compensatory plans and arrangements as required to be filed as exhibits to this Report pursuant to Item 14(c).</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133, as amended, or the Securities Exchange Act of 1934, as amended.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6" w:name="Signatures"/>
      <w:bookmarkEnd w:id="36"/>
      <w:r>
        <w:rPr>
          <w:rFonts w:ascii="Times New Roman;Times;serif" w:hAnsi="Times New Roman;Times;serif"/>
          <w:b/>
          <w:color w:val="000000"/>
          <w:sz w:val="20"/>
        </w:rPr>
        <w:t>SIGNATURES</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Section 13 or 15(d) of the Securities Exchange Act of 1934, the Registrant has duly caused this report on Form 10-K to be signed on its behalf by the undersigned, thereunto duly authorized on the 19</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of February, 2025.</w:t>
      </w:r>
    </w:p>
    <w:p>
      <w:pPr>
        <w:pStyle w:val="TextBody"/>
        <w:bidi w:val="0"/>
        <w:spacing w:before="0" w:after="0"/>
        <w:jc w:val="center"/>
        <w:rPr/>
      </w:pPr>
      <w:r>
        <w:rPr/>
      </w:r>
    </w:p>
    <w:tbl>
      <w:tblPr>
        <w:tblW w:w="4675" w:type="dxa"/>
        <w:jc w:val="left"/>
        <w:tblInd w:w="0" w:type="dxa"/>
        <w:tblLayout w:type="fixed"/>
        <w:tblCellMar>
          <w:top w:w="0" w:type="dxa"/>
          <w:left w:w="0" w:type="dxa"/>
          <w:bottom w:w="0" w:type="dxa"/>
          <w:right w:w="0" w:type="dxa"/>
        </w:tblCellMar>
      </w:tblPr>
      <w:tblGrid>
        <w:gridCol w:w="75"/>
        <w:gridCol w:w="320"/>
        <w:gridCol w:w="4280"/>
      </w:tblGrid>
      <w:tr>
        <w:trPr/>
        <w:tc>
          <w:tcPr>
            <w:tcW w:w="75" w:type="dxa"/>
            <w:tcBorders/>
            <w:vAlign w:val="center"/>
          </w:tcPr>
          <w:p>
            <w:pPr>
              <w:pStyle w:val="TableContents"/>
              <w:bidi w:val="0"/>
              <w:spacing w:before="0" w:after="283"/>
              <w:jc w:val="left"/>
              <w:rPr/>
            </w:pPr>
            <w:r>
              <w:rPr/>
              <w:t> </w:t>
            </w:r>
          </w:p>
        </w:tc>
        <w:tc>
          <w:tcPr>
            <w:tcW w:w="4600" w:type="dxa"/>
            <w:gridSpan w:val="2"/>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IONIS PHARMACEUTICALS,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By:</w:t>
            </w:r>
          </w:p>
        </w:tc>
        <w:tc>
          <w:tcPr>
            <w:tcW w:w="428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 (Principal executive officer)</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bookmarkStart w:id="37" w:name="POWEROFATTORNEY"/>
      <w:bookmarkEnd w:id="37"/>
      <w:r>
        <w:rPr>
          <w:rFonts w:ascii="Times New Roman;Times;serif" w:hAnsi="Times New Roman;Times;serif"/>
          <w:b/>
          <w:color w:val="000000"/>
          <w:sz w:val="20"/>
        </w:rPr>
        <w:t>POWER OF ATTORNEY</w:t>
      </w:r>
    </w:p>
    <w:p>
      <w:pPr>
        <w:pStyle w:val="TextBody"/>
        <w:bidi w:val="0"/>
        <w:spacing w:before="0" w:after="0"/>
        <w:jc w:val="center"/>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KNOW ALL MEN BY THESE PRESENTS, that each person whose signature appears below constitutes and appoints Brett P. Monia and Elizabeth L. Hougen, or any of them, his or her attorney-in-fact,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4221"/>
        <w:gridCol w:w="60"/>
        <w:gridCol w:w="4453"/>
        <w:gridCol w:w="60"/>
        <w:gridCol w:w="1411"/>
      </w:tblGrid>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4453"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411" w:type="dxa"/>
            <w:tcBorders>
              <w:bottom w:val="single" w:sz="12" w:space="0" w:color="000000"/>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Date</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BRETT P. MONIA</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Brett P. Monia, Ph.D.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ELIZABETH L. HOUGEN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Executive Vice President, Finance and Chief Financial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Elizabeth L. Hougen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LOSCALZO</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Loscalzo, M.D., Ph.D.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SPENCER R. BERTHELSEN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Spencer R. Berthelsen, M.D.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ALLENE M. DIAZ</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Allene M. Diaz</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MICHAEL HAYDEN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Michael Hayden, CM OBC MB ChB PhD FRCP(C) FRSC</w:t>
            </w:r>
          </w:p>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JOAN E. HERMAN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Joan E. Herman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KLEIN</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Klein, III</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r>
        <w:trPr/>
        <w:tc>
          <w:tcPr>
            <w:tcW w:w="4221"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B. LYNNE PARSHALL</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4221" w:type="dxa"/>
            <w:tcBorders>
              <w:top w:val="single" w:sz="12" w:space="0" w:color="000000"/>
            </w:tcBorders>
            <w:tcMar>
              <w:top w:w="28" w:type="dxa"/>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B. Lynne Parshall, J.D.</w:t>
            </w:r>
          </w:p>
        </w:tc>
        <w:tc>
          <w:tcPr>
            <w:tcW w:w="60" w:type="dxa"/>
            <w:tcBorders/>
            <w:tcMar>
              <w:bottom w:w="0" w:type="dxa"/>
            </w:tcMar>
            <w:vAlign w:val="center"/>
          </w:tcPr>
          <w:p>
            <w:pPr>
              <w:pStyle w:val="TableContents"/>
              <w:bidi w:val="0"/>
              <w:spacing w:before="0" w:after="283"/>
              <w:jc w:val="left"/>
              <w:rPr/>
            </w:pPr>
            <w:r>
              <w:rPr/>
              <w:t> </w:t>
            </w:r>
          </w:p>
        </w:tc>
        <w:tc>
          <w:tcPr>
            <w:tcW w:w="44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1"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4365" w:type="dxa"/>
        <w:jc w:val="left"/>
        <w:tblInd w:w="0" w:type="dxa"/>
        <w:tblLayout w:type="fixed"/>
        <w:tblCellMar>
          <w:top w:w="0" w:type="dxa"/>
          <w:left w:w="0" w:type="dxa"/>
          <w:bottom w:w="28" w:type="dxa"/>
          <w:right w:w="0" w:type="dxa"/>
        </w:tblCellMar>
      </w:tblPr>
      <w:tblGrid>
        <w:gridCol w:w="2045"/>
        <w:gridCol w:w="60"/>
        <w:gridCol w:w="680"/>
        <w:gridCol w:w="60"/>
        <w:gridCol w:w="1520"/>
      </w:tblGrid>
      <w:tr>
        <w:trPr/>
        <w:tc>
          <w:tcPr>
            <w:tcW w:w="20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JOSEPH H. WENDER</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2045"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Joseph H. Wender</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4065" w:type="dxa"/>
        <w:jc w:val="left"/>
        <w:tblInd w:w="0" w:type="dxa"/>
        <w:tblLayout w:type="fixed"/>
        <w:tblCellMar>
          <w:top w:w="0" w:type="dxa"/>
          <w:left w:w="0" w:type="dxa"/>
          <w:bottom w:w="28" w:type="dxa"/>
          <w:right w:w="0" w:type="dxa"/>
        </w:tblCellMar>
      </w:tblPr>
      <w:tblGrid>
        <w:gridCol w:w="1745"/>
        <w:gridCol w:w="60"/>
        <w:gridCol w:w="680"/>
        <w:gridCol w:w="60"/>
        <w:gridCol w:w="1520"/>
      </w:tblGrid>
      <w:tr>
        <w:trPr/>
        <w:tc>
          <w:tcPr>
            <w:tcW w:w="1745" w:type="dxa"/>
            <w:tcBorders>
              <w:bottom w:val="single" w:sz="12" w:space="0" w:color="000000"/>
            </w:tcBorders>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/s/ MICHAEL YANG</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February 19, 2025</w:t>
            </w:r>
          </w:p>
        </w:tc>
      </w:tr>
      <w:tr>
        <w:trPr/>
        <w:tc>
          <w:tcPr>
            <w:tcW w:w="1745" w:type="dxa"/>
            <w:tcBorders/>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Michael Yang</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INDEX TO CONSOLIDATED FINANCIAL STATEMENTS</w:t>
      </w:r>
    </w:p>
    <w:p>
      <w:pPr>
        <w:pStyle w:val="TextBody"/>
        <w:bidi w:val="0"/>
        <w:spacing w:before="0" w:after="0"/>
        <w:jc w:val="center"/>
        <w:rPr/>
      </w:pPr>
      <w:r>
        <w:rPr/>
      </w:r>
    </w:p>
    <w:tbl>
      <w:tblPr>
        <w:tblW w:w="9025" w:type="dxa"/>
        <w:jc w:val="left"/>
        <w:tblInd w:w="0" w:type="dxa"/>
        <w:tblLayout w:type="fixed"/>
        <w:tblCellMar>
          <w:top w:w="0" w:type="dxa"/>
          <w:left w:w="0" w:type="dxa"/>
          <w:bottom w:w="0" w:type="dxa"/>
          <w:right w:w="0" w:type="dxa"/>
        </w:tblCellMar>
      </w:tblPr>
      <w:tblGrid>
        <w:gridCol w:w="8570"/>
        <w:gridCol w:w="455"/>
      </w:tblGrid>
      <w:tr>
        <w:trPr/>
        <w:tc>
          <w:tcPr>
            <w:tcW w:w="8570" w:type="dxa"/>
            <w:tcBorders/>
            <w:vAlign w:val="center"/>
          </w:tcPr>
          <w:p>
            <w:pPr>
              <w:pStyle w:val="TableContents"/>
              <w:bidi w:val="0"/>
              <w:spacing w:before="0" w:after="283"/>
              <w:jc w:val="left"/>
              <w:rPr>
                <w:sz w:val="4"/>
                <w:szCs w:val="4"/>
              </w:rPr>
            </w:pPr>
            <w:r>
              <w:rPr>
                <w:sz w:val="4"/>
                <w:szCs w:val="4"/>
              </w:rPr>
            </w:r>
          </w:p>
        </w:tc>
        <w:tc>
          <w:tcPr>
            <w:tcW w:w="455"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8570" w:type="dxa"/>
            <w:tcBorders/>
            <w:shd w:fill="CCEEFF" w:val="clear"/>
            <w:vAlign w:val="center"/>
          </w:tcPr>
          <w:p>
            <w:pPr>
              <w:pStyle w:val="TableContents"/>
              <w:bidi w:val="0"/>
              <w:spacing w:before="0" w:after="0"/>
              <w:jc w:val="left"/>
              <w:rPr/>
            </w:pPr>
            <w:hyperlink w:anchor="AuditReport">
              <w:r>
                <w:rPr>
                  <w:rStyle w:val="InternetLink"/>
                  <w:rFonts w:ascii="Times New Roman;Times;serif" w:hAnsi="Times New Roman;Times;serif"/>
                  <w:sz w:val="20"/>
                </w:rPr>
                <w:t>Report of Independent Registered Public Accounting Firm</w:t>
              </w:r>
            </w:hyperlink>
            <w:r>
              <w:rPr>
                <w:rFonts w:ascii="Times New Roman;Times;serif" w:hAnsi="Times New Roman;Times;serif"/>
                <w:sz w:val="24"/>
              </w:rPr>
              <w:t xml:space="preserve"> </w:t>
            </w:r>
            <w:r>
              <w:rPr>
                <w:rFonts w:ascii="Times New Roman;Times;serif" w:hAnsi="Times New Roman;Times;serif"/>
                <w:sz w:val="20"/>
              </w:rPr>
              <w:t>(PCAOB ID 42)</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F-2</w:t>
            </w:r>
          </w:p>
        </w:tc>
      </w:tr>
      <w:tr>
        <w:trPr/>
        <w:tc>
          <w:tcPr>
            <w:tcW w:w="8570" w:type="dxa"/>
            <w:tcBorders/>
            <w:shd w:fill="FFFFFF" w:val="clear"/>
            <w:vAlign w:val="center"/>
          </w:tcPr>
          <w:p>
            <w:pPr>
              <w:pStyle w:val="TableContents"/>
              <w:bidi w:val="0"/>
              <w:spacing w:before="0" w:after="0"/>
              <w:jc w:val="left"/>
              <w:rPr/>
            </w:pPr>
            <w:hyperlink w:anchor="BalanceSheet">
              <w:r>
                <w:rPr>
                  <w:rStyle w:val="InternetLink"/>
                  <w:rFonts w:ascii="Times New Roman;Times;serif" w:hAnsi="Times New Roman;Times;serif"/>
                  <w:sz w:val="20"/>
                </w:rPr>
                <w:t>Consolidated Balance Sheets</w:t>
              </w:r>
            </w:hyperlink>
            <w:r>
              <w:rPr>
                <w:rFonts w:ascii="Times New Roman;Times;serif" w:hAnsi="Times New Roman;Times;serif"/>
                <w:sz w:val="24"/>
              </w:rPr>
              <w:t xml:space="preserve"> </w:t>
            </w:r>
            <w:r>
              <w:rPr>
                <w:rFonts w:ascii="Times New Roman;Times;serif" w:hAnsi="Times New Roman;Times;serif"/>
                <w:sz w:val="20"/>
              </w:rPr>
              <w:t>at December 31, 2024 and 2023</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F-4</w:t>
            </w:r>
          </w:p>
        </w:tc>
      </w:tr>
      <w:tr>
        <w:trPr/>
        <w:tc>
          <w:tcPr>
            <w:tcW w:w="8570" w:type="dxa"/>
            <w:tcBorders/>
            <w:shd w:fill="CCEEFF" w:val="clear"/>
            <w:vAlign w:val="center"/>
          </w:tcPr>
          <w:p>
            <w:pPr>
              <w:pStyle w:val="TableContents"/>
              <w:bidi w:val="0"/>
              <w:spacing w:before="0" w:after="0"/>
              <w:jc w:val="left"/>
              <w:rPr/>
            </w:pPr>
            <w:hyperlink w:anchor="IncomeStatement">
              <w:r>
                <w:rPr>
                  <w:rStyle w:val="InternetLink"/>
                  <w:rFonts w:ascii="Times New Roman;Times;serif" w:hAnsi="Times New Roman;Times;serif"/>
                  <w:sz w:val="20"/>
                </w:rPr>
                <w:t>Consolidated Statements of Operations</w:t>
              </w:r>
            </w:hyperlink>
            <w:r>
              <w:rPr>
                <w:rFonts w:ascii="Times New Roman;Times;serif" w:hAnsi="Times New Roman;Times;serif"/>
                <w:sz w:val="24"/>
              </w:rPr>
              <w:t xml:space="preserve"> </w:t>
            </w:r>
            <w:r>
              <w:rPr>
                <w:rFonts w:ascii="Times New Roman;Times;serif" w:hAnsi="Times New Roman;Times;serif"/>
                <w:sz w:val="20"/>
              </w:rPr>
              <w:t>for the years ended December 31, 2024, 2023 and 2022</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F-5</w:t>
            </w:r>
          </w:p>
        </w:tc>
      </w:tr>
      <w:tr>
        <w:trPr/>
        <w:tc>
          <w:tcPr>
            <w:tcW w:w="8570" w:type="dxa"/>
            <w:tcBorders/>
            <w:shd w:fill="FFFFFF" w:val="clear"/>
            <w:vAlign w:val="center"/>
          </w:tcPr>
          <w:p>
            <w:pPr>
              <w:pStyle w:val="TableContents"/>
              <w:bidi w:val="0"/>
              <w:spacing w:before="0" w:after="0"/>
              <w:jc w:val="left"/>
              <w:rPr/>
            </w:pPr>
            <w:hyperlink w:anchor="ComprehensiveIncome">
              <w:r>
                <w:rPr>
                  <w:rStyle w:val="InternetLink"/>
                  <w:rFonts w:ascii="Times New Roman;Times;serif" w:hAnsi="Times New Roman;Times;serif"/>
                  <w:sz w:val="20"/>
                </w:rPr>
                <w:t>Consolidated Statements of Comprehensive Loss</w:t>
              </w:r>
            </w:hyperlink>
            <w:r>
              <w:rPr>
                <w:rFonts w:ascii="Times New Roman;Times;serif" w:hAnsi="Times New Roman;Times;serif"/>
                <w:sz w:val="24"/>
              </w:rPr>
              <w:t xml:space="preserve"> </w:t>
            </w:r>
            <w:r>
              <w:rPr>
                <w:rFonts w:ascii="Times New Roman;Times;serif" w:hAnsi="Times New Roman;Times;serif"/>
                <w:sz w:val="20"/>
              </w:rPr>
              <w:t>for the years ended December 31, 2024, 2023 and 2022</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F-6</w:t>
            </w:r>
          </w:p>
        </w:tc>
      </w:tr>
      <w:tr>
        <w:trPr/>
        <w:tc>
          <w:tcPr>
            <w:tcW w:w="8570" w:type="dxa"/>
            <w:tcBorders/>
            <w:shd w:fill="CCEEFF" w:val="clear"/>
            <w:vAlign w:val="center"/>
          </w:tcPr>
          <w:p>
            <w:pPr>
              <w:pStyle w:val="TableContents"/>
              <w:bidi w:val="0"/>
              <w:spacing w:before="0" w:after="0"/>
              <w:jc w:val="left"/>
              <w:rPr/>
            </w:pPr>
            <w:hyperlink w:anchor="Equity">
              <w:r>
                <w:rPr>
                  <w:rStyle w:val="InternetLink"/>
                  <w:rFonts w:ascii="Times New Roman;Times;serif" w:hAnsi="Times New Roman;Times;serif"/>
                  <w:sz w:val="20"/>
                </w:rPr>
                <w:t>Consolidated Statements of Stockholders’ Equity</w:t>
              </w:r>
            </w:hyperlink>
            <w:r>
              <w:rPr>
                <w:rFonts w:ascii="Times New Roman;Times;serif" w:hAnsi="Times New Roman;Times;serif"/>
                <w:sz w:val="24"/>
              </w:rPr>
              <w:t xml:space="preserve"> </w:t>
            </w:r>
            <w:r>
              <w:rPr>
                <w:rFonts w:ascii="Times New Roman;Times;serif" w:hAnsi="Times New Roman;Times;serif"/>
                <w:sz w:val="20"/>
              </w:rPr>
              <w:t>for the years ended December 31, 2024, 2023 and 2022</w:t>
            </w:r>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F-7</w:t>
            </w:r>
          </w:p>
        </w:tc>
      </w:tr>
      <w:tr>
        <w:trPr/>
        <w:tc>
          <w:tcPr>
            <w:tcW w:w="8570" w:type="dxa"/>
            <w:tcBorders/>
            <w:shd w:fill="FFFFFF" w:val="clear"/>
            <w:vAlign w:val="center"/>
          </w:tcPr>
          <w:p>
            <w:pPr>
              <w:pStyle w:val="TableContents"/>
              <w:bidi w:val="0"/>
              <w:spacing w:before="0" w:after="0"/>
              <w:jc w:val="left"/>
              <w:rPr/>
            </w:pPr>
            <w:hyperlink w:anchor="CashFlows">
              <w:r>
                <w:rPr>
                  <w:rStyle w:val="InternetLink"/>
                  <w:rFonts w:ascii="Times New Roman;Times;serif" w:hAnsi="Times New Roman;Times;serif"/>
                  <w:sz w:val="20"/>
                </w:rPr>
                <w:t>Consolidated Statements of Cash Flows</w:t>
              </w:r>
            </w:hyperlink>
            <w:r>
              <w:rPr>
                <w:rFonts w:ascii="Times New Roman;Times;serif" w:hAnsi="Times New Roman;Times;serif"/>
                <w:sz w:val="24"/>
              </w:rPr>
              <w:t xml:space="preserve"> </w:t>
            </w:r>
            <w:r>
              <w:rPr>
                <w:rFonts w:ascii="Times New Roman;Times;serif" w:hAnsi="Times New Roman;Times;serif"/>
                <w:sz w:val="20"/>
              </w:rPr>
              <w:t>for the years ended December 31, 2024, 2023 and 2022</w:t>
            </w:r>
          </w:p>
        </w:tc>
        <w:tc>
          <w:tcPr>
            <w:tcW w:w="455"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F-8</w:t>
            </w:r>
          </w:p>
        </w:tc>
      </w:tr>
      <w:tr>
        <w:trPr/>
        <w:tc>
          <w:tcPr>
            <w:tcW w:w="8570" w:type="dxa"/>
            <w:tcBorders/>
            <w:shd w:fill="CCEEFF" w:val="clear"/>
            <w:vAlign w:val="center"/>
          </w:tcPr>
          <w:p>
            <w:pPr>
              <w:pStyle w:val="TableContents"/>
              <w:bidi w:val="0"/>
              <w:spacing w:before="0" w:after="0"/>
              <w:jc w:val="left"/>
              <w:rPr/>
            </w:pPr>
            <w:hyperlink w:anchor="Notes">
              <w:r>
                <w:rPr>
                  <w:rStyle w:val="InternetLink"/>
                  <w:rFonts w:ascii="Times New Roman;Times;serif" w:hAnsi="Times New Roman;Times;serif"/>
                  <w:sz w:val="20"/>
                </w:rPr>
                <w:t>Notes to the Consolidated Financial Statements</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8" w:name="AuditReport"/>
      <w:bookmarkEnd w:id="38"/>
      <w:r>
        <w:rPr>
          <w:rFonts w:ascii="Times New Roman;Times;serif" w:hAnsi="Times New Roman;Time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the Stockholders and the Board of Directors of Ionis Pharmaceuticals, Inc.</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Opinion on the Financial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have audited the accompanying consolidated balance sheets of Ionis Pharmaceuticals, Inc.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19, 2025 expressed an unqualified opinion thereon.</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Basis for Opinion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Critical Audit Matter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67"/>
        <w:gridCol w:w="60"/>
        <w:gridCol w:w="8978"/>
      </w:tblGrid>
      <w:tr>
        <w:trPr/>
        <w:tc>
          <w:tcPr>
            <w:tcW w:w="11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rFonts w:ascii="Times New Roman;Times;serif" w:hAnsi="Times New Roman;Times;serif"/>
                <w:b/>
                <w:i/>
                <w:sz w:val="20"/>
              </w:rPr>
            </w:pPr>
            <w:r>
              <w:rPr>
                <w:rFonts w:ascii="Times New Roman;Times;serif" w:hAnsi="Times New Roman;Times;serif"/>
                <w:b/>
                <w:i/>
                <w:sz w:val="20"/>
              </w:rPr>
              <w:t>Estimated Liability for Clinical Development Costs</w:t>
            </w:r>
          </w:p>
          <w:p>
            <w:pPr>
              <w:pStyle w:val="TableContents"/>
              <w:bidi w:val="0"/>
              <w:spacing w:before="0" w:after="0"/>
              <w:jc w:val="left"/>
              <w:rPr/>
            </w:pPr>
            <w:r>
              <w:rPr/>
              <w:t> </w:t>
            </w:r>
          </w:p>
        </w:tc>
      </w:tr>
      <w:tr>
        <w:trPr/>
        <w:tc>
          <w:tcPr>
            <w:tcW w:w="1167"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Description of the Matter</w:t>
            </w:r>
          </w:p>
        </w:tc>
        <w:tc>
          <w:tcPr>
            <w:tcW w:w="60"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of December 31, 2024, the Company accrued $77.4 million for clinical development expenses. As discussed in Note 1 to the consolidated financial statements, the Company records costs for clinical trial activities based upon estimates of costs incurred through the balance sheet date that have yet to be invoiced related to third-party clinical management costs, laboratory and analysis costs, toxicology studies and investigator grants. The Company estimates its liability using assumptions about study and patient activities and the related expected expenses for those activities based on the contracted fees with service providers.</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Auditing the Company’s accruals for clinical and contract research organization costs is especially complex as the information necessary to estimate the accruals is accumulated from multiple sources. In addition, in certain circumstances, the determination of the nature and level of services that have been received during the reporting period requires judgment because the timing and pattern of vendor invoicing does not correspond to the level of services provided and there may be delays in invoicing from vendors.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05"/>
        <w:gridCol w:w="60"/>
        <w:gridCol w:w="8940"/>
      </w:tblGrid>
      <w:tr>
        <w:trPr/>
        <w:tc>
          <w:tcPr>
            <w:tcW w:w="120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6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obtained an understanding and evaluated the design and tested the operating effectiveness of controls over the accounting for accrued clinical development expenses. This included controls over management’s assessment of the assumptions and accuracy of data underlying the accrued clinical development expenses estimate.</w:t>
            </w:r>
          </w:p>
          <w:p>
            <w:pPr>
              <w:pStyle w:val="TableContents"/>
              <w:bidi w:val="0"/>
              <w:spacing w:before="0" w:after="0"/>
              <w:jc w:val="left"/>
              <w:rPr/>
            </w:pPr>
            <w:r>
              <w:rPr/>
              <w:t> </w:t>
            </w:r>
          </w:p>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To test the accuracy of the Company’s accrued clinical development expenses, we performed audit procedures that included, among other procedures, obtaining supporting evidence of the research and development activities performed for significant clinical trials and confirming with a sample of vendors the progress of activities under research and development contracts at period end. We corroborated the status of significant clinical development expenses through meetings with accounting and clinical project managers. We compared the costs for a sample of transactions against the related invoices and contracts, and examined a sample of subsequent payments to evaluate the accuracy of the accrued clinical development expenses and compared the results to the current year accrual.</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Ernst &amp; Young LLP</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served as the Company’s auditor since 1989.</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San Diego, California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19, 2025</w: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39" w:name="BalanceSheet"/>
      <w:bookmarkEnd w:id="39"/>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BALANCE SHEETS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share and par value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50"/>
        <w:gridCol w:w="60"/>
        <w:gridCol w:w="125"/>
        <w:gridCol w:w="905"/>
        <w:gridCol w:w="80"/>
        <w:gridCol w:w="60"/>
        <w:gridCol w:w="125"/>
        <w:gridCol w:w="905"/>
        <w:gridCol w:w="95"/>
      </w:tblGrid>
      <w:tr>
        <w:trPr/>
        <w:tc>
          <w:tcPr>
            <w:tcW w:w="7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center"/>
              <w:rPr>
                <w:rFonts w:ascii="Times New Roman;Times;serif" w:hAnsi="Times New Roman;Times;serif"/>
                <w:b/>
                <w:sz w:val="20"/>
              </w:rPr>
            </w:pPr>
            <w:r>
              <w:rPr>
                <w:rFonts w:ascii="Times New Roman;Times;serif" w:hAnsi="Times New Roman;Times;serif"/>
                <w:b/>
                <w:sz w:val="20"/>
              </w:rPr>
              <w:t>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Current assets: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242,077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399,266</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Short-term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2,055,579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1,931,935</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Contracts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92,188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97,778</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7,441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217,934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205,433</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2,620,290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2,641,853</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94,251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71,043</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161,856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171,896</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Deposits and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127,278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105,280</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3,003,675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2,990,072</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center"/>
              <w:rPr>
                <w:rFonts w:ascii="Times New Roman;Times;serif" w:hAnsi="Times New Roman;Times;serif"/>
                <w:sz w:val="20"/>
              </w:rPr>
            </w:pPr>
            <w:r>
              <w:rPr>
                <w:rFonts w:ascii="Times New Roman;Times;serif" w:hAnsi="Times New Roman;Times;serif"/>
                <w:b/>
                <w:sz w:val="20"/>
              </w:rPr>
              <w:t>LIABILITIES AND STOCKHOLDERS</w:t>
            </w:r>
            <w:r>
              <w:rPr>
                <w:rFonts w:ascii="Times New Roman;Times;serif" w:hAnsi="Times New Roman;Times;serif"/>
                <w:sz w:val="20"/>
              </w:rPr>
              <w:t xml:space="preserve">’ </w:t>
            </w:r>
            <w:r>
              <w:rPr>
                <w:rFonts w:ascii="Times New Roman;Times;serif" w:hAnsi="Times New Roman;Times;serif"/>
                <w:b/>
                <w:sz w:val="20"/>
              </w:rPr>
              <w:t>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26,027</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67,727</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Accrued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108,438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147,894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Income taxes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2,151</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0.125 percent convertible senior notes,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44,332</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Current portion of deferred contract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78,989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151,128</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8,831</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309,318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448,090</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Long-term deferred contract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156,504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241,184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1.75 percent convertible senior notes,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562,285</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0 percent convertible senior notes,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628,535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625,380</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Liability related to sale of future royalties,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542,212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Long-term 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161,805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170,875</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720"/>
              <w:jc w:val="left"/>
              <w:rPr>
                <w:rFonts w:ascii="Times New Roman;Times;serif" w:hAnsi="Times New Roman;Times;serif"/>
                <w:sz w:val="20"/>
              </w:rPr>
            </w:pPr>
            <w:r>
              <w:rPr>
                <w:rFonts w:ascii="Times New Roman;Times;serif" w:hAnsi="Times New Roman;Times;serif"/>
                <w:sz w:val="20"/>
              </w:rPr>
              <w:t>Long-term obligations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51,924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41,836</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2,415,324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2,603,386</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Common stock, $0.001 par value; 300,000,000 shares authorized, 157,908,815 and 144,340,526 shares issued and outstanding at December 31, 2024 and December 31, 2023, respectively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2,868,812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2,215,098</w:t>
            </w:r>
          </w:p>
        </w:tc>
        <w:tc>
          <w:tcPr>
            <w:tcW w:w="95" w:type="dxa"/>
            <w:tcBorders/>
            <w:vAlign w:val="bottom"/>
          </w:tcPr>
          <w:p>
            <w:pPr>
              <w:pStyle w:val="TableContents"/>
              <w:bidi w:val="0"/>
              <w:spacing w:before="0" w:after="283"/>
              <w:jc w:val="left"/>
              <w:rPr/>
            </w:pPr>
            <w:r>
              <w:rPr/>
              <w:t> </w:t>
            </w:r>
          </w:p>
        </w:tc>
      </w:tr>
      <w:tr>
        <w:trPr/>
        <w:tc>
          <w:tcPr>
            <w:tcW w:w="785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(32,645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(2,249,808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(1,795,911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588,351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386,686</w:t>
            </w:r>
          </w:p>
        </w:tc>
        <w:tc>
          <w:tcPr>
            <w:tcW w:w="95" w:type="dxa"/>
            <w:tcBorders/>
            <w:shd w:fill="CCEEFF" w:val="clear"/>
            <w:vAlign w:val="bottom"/>
          </w:tcPr>
          <w:p>
            <w:pPr>
              <w:pStyle w:val="TableContents"/>
              <w:bidi w:val="0"/>
              <w:spacing w:before="0" w:after="283"/>
              <w:jc w:val="left"/>
              <w:rPr/>
            </w:pPr>
            <w:r>
              <w:rPr/>
              <w:t> </w:t>
            </w:r>
          </w:p>
        </w:tc>
      </w:tr>
      <w:tr>
        <w:trPr/>
        <w:tc>
          <w:tcPr>
            <w:tcW w:w="785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3,003,675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2,990,072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40" w:name="IncomeStatement"/>
      <w:bookmarkEnd w:id="40"/>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OPERATIONS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 except for per share amounts)</w:t>
      </w:r>
    </w:p>
    <w:p>
      <w:pPr>
        <w:pStyle w:val="TextBody"/>
        <w:bidi w:val="0"/>
        <w:spacing w:before="0" w:after="0"/>
        <w:jc w:val="left"/>
        <w:rPr/>
      </w:pPr>
      <w:r>
        <w:rPr/>
      </w:r>
    </w:p>
    <w:tbl>
      <w:tblPr>
        <w:tblW w:w="8240" w:type="dxa"/>
        <w:jc w:val="left"/>
        <w:tblInd w:w="0" w:type="dxa"/>
        <w:tblLayout w:type="fixed"/>
        <w:tblCellMar>
          <w:top w:w="0" w:type="dxa"/>
          <w:left w:w="0" w:type="dxa"/>
          <w:bottom w:w="0" w:type="dxa"/>
          <w:right w:w="0" w:type="dxa"/>
        </w:tblCellMar>
      </w:tblPr>
      <w:tblGrid>
        <w:gridCol w:w="4985"/>
        <w:gridCol w:w="60"/>
        <w:gridCol w:w="125"/>
        <w:gridCol w:w="845"/>
        <w:gridCol w:w="80"/>
        <w:gridCol w:w="60"/>
        <w:gridCol w:w="125"/>
        <w:gridCol w:w="845"/>
        <w:gridCol w:w="80"/>
        <w:gridCol w:w="60"/>
        <w:gridCol w:w="125"/>
        <w:gridCol w:w="755"/>
        <w:gridCol w:w="95"/>
      </w:tblGrid>
      <w:tr>
        <w:trPr/>
        <w:tc>
          <w:tcPr>
            <w:tcW w:w="4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177"/>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216,090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240,379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242,314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177"/>
              <w:jc w:val="left"/>
              <w:rPr>
                <w:rFonts w:ascii="Times New Roman;Times;serif" w:hAnsi="Times New Roman;Times;serif"/>
                <w:sz w:val="20"/>
              </w:rPr>
            </w:pPr>
            <w:r>
              <w:rPr>
                <w:rFonts w:ascii="Times New Roman;Times;serif" w:hAnsi="Times New Roman;Times;serif"/>
                <w:sz w:val="20"/>
              </w:rPr>
              <w:t>WAINUA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177"/>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56,779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61,044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355"/>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293,076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308,591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303,358</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and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18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207,222</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firstLine="18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126,399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76,787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firstLine="360"/>
              <w:jc w:val="left"/>
              <w:rPr>
                <w:rFonts w:ascii="Times New Roman;Times;serif" w:hAnsi="Times New Roman;Times;serif"/>
                <w:sz w:val="20"/>
              </w:rPr>
            </w:pPr>
            <w:r>
              <w:rPr>
                <w:rFonts w:ascii="Times New Roman;Times;serif" w:hAnsi="Times New Roman;Times;serif"/>
                <w:sz w:val="20"/>
              </w:rPr>
              <w:t>Total research and development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412,062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284,009</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587,367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14,116</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development and patent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901,530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899,625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833,147</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267,474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232,619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150,295</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1,180,219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1,141,377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997,558</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(475,081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(353,730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(410,191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Investment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89,041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25,331</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(16,994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(12,660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(8,122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expense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(73,457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(68,797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on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(7,333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Gain (loss) on sale of real estate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149,604</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income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(7,274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Loss before income tax benefit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(460,068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Income tax benefit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Basic and diluted net loss per share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(1.90</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9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Shares used in computing basic and diluted net loss per share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149,514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143,190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141,848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41" w:name="ComprehensiveIncome"/>
      <w:bookmarkEnd w:id="41"/>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COMPREHENSIVE LOSS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7250" w:type="dxa"/>
        <w:jc w:val="left"/>
        <w:tblInd w:w="0" w:type="dxa"/>
        <w:tblLayout w:type="fixed"/>
        <w:tblCellMar>
          <w:top w:w="0" w:type="dxa"/>
          <w:left w:w="0" w:type="dxa"/>
          <w:bottom w:w="0" w:type="dxa"/>
          <w:right w:w="0" w:type="dxa"/>
        </w:tblCellMar>
      </w:tblPr>
      <w:tblGrid>
        <w:gridCol w:w="4175"/>
        <w:gridCol w:w="60"/>
        <w:gridCol w:w="125"/>
        <w:gridCol w:w="755"/>
        <w:gridCol w:w="80"/>
        <w:gridCol w:w="60"/>
        <w:gridCol w:w="125"/>
        <w:gridCol w:w="755"/>
        <w:gridCol w:w="80"/>
        <w:gridCol w:w="60"/>
        <w:gridCol w:w="125"/>
        <w:gridCol w:w="755"/>
        <w:gridCol w:w="95"/>
      </w:tblGrid>
      <w:tr>
        <w:trPr/>
        <w:tc>
          <w:tcPr>
            <w:tcW w:w="4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4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17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Unrealized gains (losses) on investments, net of tax</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Currency translation adjustment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17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Comprehensive loss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(452,063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(341,451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(294,534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42" w:name="Equity"/>
      <w:bookmarkEnd w:id="42"/>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color w:val="000000"/>
          <w:sz w:val="20"/>
        </w:rPr>
        <w:t>CONSOLIDATED STATEMENTS OF STOCKHOLDERS</w:t>
      </w:r>
      <w:r>
        <w:rPr>
          <w:rFonts w:ascii="Times New Roman;Times;serif" w:hAnsi="Times New Roman;Times;serif"/>
          <w:color w:val="000000"/>
          <w:sz w:val="20"/>
        </w:rPr>
        <w:t xml:space="preserve">’ </w:t>
      </w:r>
      <w:r>
        <w:rPr>
          <w:rFonts w:ascii="Times New Roman;Times;serif" w:hAnsi="Times New Roman;Times;serif"/>
          <w:b/>
          <w:color w:val="000000"/>
          <w:sz w:val="20"/>
        </w:rPr>
        <w:t>EQUITY</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152"/>
        <w:gridCol w:w="60"/>
        <w:gridCol w:w="60"/>
        <w:gridCol w:w="695"/>
        <w:gridCol w:w="80"/>
        <w:gridCol w:w="60"/>
        <w:gridCol w:w="188"/>
        <w:gridCol w:w="507"/>
        <w:gridCol w:w="60"/>
        <w:gridCol w:w="60"/>
        <w:gridCol w:w="135"/>
        <w:gridCol w:w="918"/>
        <w:gridCol w:w="80"/>
        <w:gridCol w:w="60"/>
        <w:gridCol w:w="272"/>
        <w:gridCol w:w="1180"/>
        <w:gridCol w:w="80"/>
        <w:gridCol w:w="60"/>
        <w:gridCol w:w="137"/>
        <w:gridCol w:w="993"/>
        <w:gridCol w:w="80"/>
        <w:gridCol w:w="60"/>
        <w:gridCol w:w="160"/>
        <w:gridCol w:w="970"/>
        <w:gridCol w:w="98"/>
      </w:tblGrid>
      <w:tr>
        <w:trPr/>
        <w:tc>
          <w:tcPr>
            <w:tcW w:w="31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9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Accumulated 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Ionis</w:t>
            </w:r>
          </w:p>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w:t>
            </w:r>
          </w:p>
        </w:tc>
        <w:tc>
          <w:tcPr>
            <w:tcW w:w="98" w:type="dxa"/>
            <w:tcBorders/>
            <w:vAlign w:val="bottom"/>
          </w:tcPr>
          <w:p>
            <w:pPr>
              <w:pStyle w:val="TableContents"/>
              <w:bidi w:val="0"/>
              <w:spacing w:before="0" w:after="283"/>
              <w:jc w:val="left"/>
              <w:rPr/>
            </w:pPr>
            <w:r>
              <w:rPr/>
              <w:t> </w:t>
            </w:r>
          </w:p>
        </w:tc>
      </w:tr>
      <w:tr>
        <w:trPr/>
        <w:tc>
          <w:tcPr>
            <w:tcW w:w="3152"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Times;serif" w:hAnsi="Times New Roman;Times;serif"/>
                <w:b/>
                <w:sz w:val="20"/>
              </w:rPr>
            </w:pPr>
            <w:r>
              <w:rPr>
                <w:rFonts w:ascii="Times New Roman;Times;serif" w:hAnsi="Times New Roman;Times;serif"/>
                <w:b/>
                <w:sz w:val="20"/>
              </w:rPr>
              <w:t>Description</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Paid in 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Comprehensive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Equity</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141,210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1,964,167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(32,668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(1,159,903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771,737</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losses, net of tax</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(24,395</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(417</w:t>
            </w:r>
          </w:p>
        </w:tc>
        <w:tc>
          <w:tcPr>
            <w:tcW w:w="9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6,373</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Payments of tax withholdings related to vesting of employee stock awards and exercise of employee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142,058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2,059,850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(57,480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(1,429,625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572,887</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gains, net of tax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24,484</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49,441</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144,341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2,215,098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(32,645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(1,795,911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60"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386,686</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Change in unrealized gains, net of tax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2,107</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w:t>
            </w:r>
          </w:p>
        </w:tc>
        <w:tc>
          <w:tcPr>
            <w:tcW w:w="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common stock in connection with employee stock plans,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33,609</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Issuance of public common stock,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50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489,108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489,120</w:t>
            </w:r>
          </w:p>
        </w:tc>
        <w:tc>
          <w:tcPr>
            <w:tcW w:w="98" w:type="dxa"/>
            <w:tcBorders/>
            <w:shd w:fill="CCEEFF" w:val="clear"/>
            <w:vAlign w:val="bottom"/>
          </w:tcPr>
          <w:p>
            <w:pPr>
              <w:pStyle w:val="TableContents"/>
              <w:bidi w:val="0"/>
              <w:spacing w:before="0" w:after="283"/>
              <w:jc w:val="left"/>
              <w:rPr/>
            </w:pPr>
            <w:r>
              <w:rPr/>
              <w:t> </w:t>
            </w:r>
          </w:p>
        </w:tc>
      </w:tr>
      <w:tr>
        <w:trPr/>
        <w:tc>
          <w:tcPr>
            <w:tcW w:w="3152"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50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993"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130,999</w:t>
            </w:r>
          </w:p>
        </w:tc>
        <w:tc>
          <w:tcPr>
            <w:tcW w:w="98" w:type="dxa"/>
            <w:tcBorders/>
            <w:vAlign w:val="bottom"/>
          </w:tcPr>
          <w:p>
            <w:pPr>
              <w:pStyle w:val="TableContents"/>
              <w:bidi w:val="0"/>
              <w:spacing w:before="0" w:after="283"/>
              <w:jc w:val="left"/>
              <w:rPr/>
            </w:pPr>
            <w:r>
              <w:rPr/>
              <w:t> </w:t>
            </w:r>
          </w:p>
        </w:tc>
      </w:tr>
      <w:tr>
        <w:trPr/>
        <w:tc>
          <w:tcPr>
            <w:tcW w:w="3152" w:type="dxa"/>
            <w:tcBorders/>
            <w:shd w:fill="CCEEFF" w:val="clear"/>
            <w:vAlign w:val="bottom"/>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Balance at December 31, 2024</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157,909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2,868,812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1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(30,811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(2,249,808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588,351</w:t>
            </w:r>
          </w:p>
        </w:tc>
        <w:tc>
          <w:tcPr>
            <w:tcW w:w="9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43" w:name="CashFlows"/>
      <w:bookmarkEnd w:id="43"/>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CONSOLIDATED STATEMENTS OF CASH FLOWS</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680"/>
        <w:gridCol w:w="60"/>
        <w:gridCol w:w="125"/>
        <w:gridCol w:w="905"/>
        <w:gridCol w:w="80"/>
        <w:gridCol w:w="60"/>
        <w:gridCol w:w="125"/>
        <w:gridCol w:w="905"/>
        <w:gridCol w:w="80"/>
        <w:gridCol w:w="60"/>
        <w:gridCol w:w="125"/>
        <w:gridCol w:w="905"/>
        <w:gridCol w:w="95"/>
      </w:tblGrid>
      <w:tr>
        <w:trPr/>
        <w:tc>
          <w:tcPr>
            <w:tcW w:w="66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Operating activities:</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14,328</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right-of-use operating lease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5,362</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2,415</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premium (discount) on investments,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(37,733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(28,885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7,389</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Amortization of debt issuance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5,373</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royalty revenue related to sale of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(44,981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(44,628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interest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72,846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Gain on early retirement of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(13,389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losses related to disposal of property, plant and equipment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(gain) on sale of real estate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(150,135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Loss on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Non-cash losses related to 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2,030</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Contracts receivable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(72,059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36,358</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Inventories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(5,071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5,326</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Other current and long-term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(25,857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(33,763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(27,235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1,094</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(4,098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6,213</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10,368</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46,695</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Deferred contract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(156,819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(71,248</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(500,947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(307,513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(274,370</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Purchases of short-term investments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(1,852,858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(1,770,814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(1,485,772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short-term 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1,769,172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1,584,676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989,152</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(45,280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(23,805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(15,721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real estate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254,083</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Acquisition of licenses and other assets, net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(5,061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(134,027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(214,127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(262,636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issuance of common stock through equity plans,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33,609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49,442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6,373</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issuance of common stock in public offering,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489,120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Repayment of 0.125 percent convertible senior notes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(44,504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(487,943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Proceeds from issuance of 1.75 percent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1.75 percent convertible senior notes issuance costs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(14,175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500,000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Payments of transaction costs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Proceeds from real estate transaction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Principal payments on mortgage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(50,686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Payments of tax withholdings related to vesting of employee stock awards and exercise of employee stock options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720" w:right="0" w:hanging="18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478,058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644,082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(55,295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Effects of exchange rates on cash</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(157,189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122,794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(592,719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80" w:type="dxa"/>
            <w:tcBorders/>
            <w:shd w:fill="CCEEFF" w:val="clear"/>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Cash and cash equivalents at beginning of year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399,266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869,191</w:t>
            </w:r>
          </w:p>
        </w:tc>
        <w:tc>
          <w:tcPr>
            <w:tcW w:w="95"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0"/>
              <w:ind w:left="540" w:right="0" w:hanging="180"/>
              <w:jc w:val="left"/>
              <w:rPr>
                <w:rFonts w:ascii="Times New Roman;Times;serif" w:hAnsi="Times New Roman;Times;serif"/>
                <w:sz w:val="20"/>
              </w:rPr>
            </w:pPr>
            <w:r>
              <w:rPr>
                <w:rFonts w:ascii="Times New Roman;Times;serif" w:hAnsi="Times New Roman;Times;serif"/>
                <w:sz w:val="20"/>
              </w:rPr>
              <w:t>Cash and cash equivalents at end of year</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242,077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399,266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276,472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75" w:type="dxa"/>
        <w:jc w:val="left"/>
        <w:tblInd w:w="0" w:type="dxa"/>
        <w:tblLayout w:type="fixed"/>
        <w:tblCellMar>
          <w:top w:w="0" w:type="dxa"/>
          <w:left w:w="0" w:type="dxa"/>
          <w:bottom w:w="0" w:type="dxa"/>
          <w:right w:w="0" w:type="dxa"/>
        </w:tblCellMar>
      </w:tblPr>
      <w:tblGrid>
        <w:gridCol w:w="5930"/>
        <w:gridCol w:w="60"/>
        <w:gridCol w:w="125"/>
        <w:gridCol w:w="590"/>
        <w:gridCol w:w="80"/>
        <w:gridCol w:w="60"/>
        <w:gridCol w:w="125"/>
        <w:gridCol w:w="590"/>
        <w:gridCol w:w="60"/>
        <w:gridCol w:w="60"/>
        <w:gridCol w:w="125"/>
        <w:gridCol w:w="695"/>
        <w:gridCol w:w="75"/>
      </w:tblGrid>
      <w:tr>
        <w:trPr/>
        <w:tc>
          <w:tcPr>
            <w:tcW w:w="593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Interest paid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2,898</w:t>
            </w:r>
          </w:p>
        </w:tc>
        <w:tc>
          <w:tcPr>
            <w:tcW w:w="75" w:type="dxa"/>
            <w:tcBorders/>
            <w:shd w:fill="CCEEFF" w:val="clear"/>
            <w:vAlign w:val="bottom"/>
          </w:tcPr>
          <w:p>
            <w:pPr>
              <w:pStyle w:val="TableContents"/>
              <w:bidi w:val="0"/>
              <w:spacing w:before="0" w:after="283"/>
              <w:jc w:val="left"/>
              <w:rPr/>
            </w:pPr>
            <w:r>
              <w:rPr/>
              <w:t> </w:t>
            </w:r>
          </w:p>
        </w:tc>
      </w:tr>
      <w:tr>
        <w:trPr/>
        <w:tc>
          <w:tcPr>
            <w:tcW w:w="593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Income taxes paid (refunds received)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(5,620</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5,010</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Supplemental disclosures of 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93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168,931</w:t>
            </w:r>
          </w:p>
        </w:tc>
        <w:tc>
          <w:tcPr>
            <w:tcW w:w="75" w:type="dxa"/>
            <w:tcBorders/>
            <w:vAlign w:val="bottom"/>
          </w:tcPr>
          <w:p>
            <w:pPr>
              <w:pStyle w:val="TableContents"/>
              <w:bidi w:val="0"/>
              <w:spacing w:before="0" w:after="283"/>
              <w:jc w:val="left"/>
              <w:rPr/>
            </w:pPr>
            <w:r>
              <w:rPr/>
              <w:t> </w:t>
            </w:r>
          </w:p>
        </w:tc>
      </w:tr>
      <w:tr>
        <w:trPr/>
        <w:tc>
          <w:tcPr>
            <w:tcW w:w="5930"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Amounts accrued for capital and patent expenditures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See accompanying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center"/>
        <w:rPr>
          <w:rFonts w:ascii="Times New Roman;Times;serif" w:hAnsi="Times New Roman;Times;serif"/>
          <w:b/>
          <w:color w:val="000000"/>
          <w:sz w:val="20"/>
        </w:rPr>
      </w:pPr>
      <w:bookmarkStart w:id="44" w:name="Notes"/>
      <w:bookmarkEnd w:id="44"/>
      <w:r>
        <w:rPr>
          <w:rFonts w:ascii="Times New Roman;Times;serif" w:hAnsi="Times New Roman;Times;serif"/>
          <w:b/>
          <w:color w:val="000000"/>
          <w:sz w:val="20"/>
        </w:rPr>
        <w:t>IONIS PHARMACEUTICALS, INC.</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NOTES TO CONSOLIDATED FINANCIAL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 Organization and Significant Accounting Policies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Basis of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our consolidated financial statements we included the accounts of Ionis Pharmaceuticals, Inc. and the consolidated results of our wholly owned subsidiary, Akcea Therapeutics, Inc. and its wholly owned subsidiaries (“we”, “us” or “our”).</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Organization and Business Activity</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incorporated in California on January 10, 1989. In conjunction with our IPO, we reorganized as a Delaware corporation in April 1991. We were organized principally to develop human therapeutic medicines using antisense technology. In December 2015, we changed our name from Isis Pharmaceuticals, Inc. to Ionis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operate as a single segment, Ionis operations, because our chief operating decision maker, or CODM, reviews operating results on an aggregate basis and manages our operations as a single operating segment. Refer to Note 12, </w:t>
      </w:r>
      <w:r>
        <w:rPr>
          <w:rFonts w:ascii="Times New Roman;Times;serif" w:hAnsi="Times New Roman;Times;serif"/>
          <w:i/>
          <w:color w:val="000000"/>
          <w:sz w:val="20"/>
        </w:rPr>
        <w:t>Segment Information</w:t>
      </w:r>
      <w:r>
        <w:rPr>
          <w:rFonts w:ascii="Times New Roman;Times;serif" w:hAnsi="Times New Roman;Times;serif"/>
          <w:color w:val="000000"/>
          <w:sz w:val="20"/>
        </w:rPr>
        <w:t>, for further details on our segment information.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Use of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prepare our consolidated financial statements in conformity with accounting principles generally accepted in the United States, or U.S., that require us to make estimates and assumptions that affect the amounts reported in our consolidated financial statements and accompanying notes. Actual results could differ from our estimates.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Revenue Recognition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generally recognize revenue when we have satisfied all contractual obligations and are reasonably assured of collecting the resulting receivable. We are often entitled to bill our customers and receive payment from our customers in advance of recognizing the revenue. In the instances in which we have received payment from our customers in advance of recognizing revenue, we include the amounts within deferred revenue in our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At contract inception, we analyze our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Accounting Standards Codification, or ASC, Topic 808, </w:t>
      </w:r>
      <w:r>
        <w:rPr>
          <w:rFonts w:ascii="Times New Roman;Times;serif" w:hAnsi="Times New Roman;Times;serif"/>
          <w:i/>
          <w:color w:val="000000"/>
          <w:sz w:val="20"/>
        </w:rPr>
        <w:t>Collaborative Arrangements</w:t>
      </w:r>
      <w:r>
        <w:rPr>
          <w:rFonts w:ascii="Times New Roman;Times;serif" w:hAnsi="Times New Roman;Times;serif"/>
          <w:color w:val="000000"/>
          <w:sz w:val="20"/>
        </w:rPr>
        <w:t xml:space="preserve">, or ASC 808. ASC 808 does not address the recognition and measurement of collaborative arrangements and instead refers companies to use other authoritative accounting literature. For collaboration arrangements within the scope of ASC 808 that contain multiple elements, we first determine which elements of the collaboration reflect a vendor-customer relationship and therefore are within the scope of ASC 606, </w:t>
      </w:r>
      <w:r>
        <w:rPr>
          <w:rFonts w:ascii="Times New Roman;Times;serif" w:hAnsi="Times New Roman;Times;serif"/>
          <w:i/>
          <w:color w:val="000000"/>
          <w:sz w:val="20"/>
        </w:rPr>
        <w:t>Revenue from Contracts with Customers</w:t>
      </w:r>
      <w:r>
        <w:rPr>
          <w:rFonts w:ascii="Times New Roman;Times;serif" w:hAnsi="Times New Roman;Times;serif"/>
          <w:color w:val="000000"/>
          <w:sz w:val="20"/>
        </w:rPr>
        <w:t>. When we determine elements of a collaboration do not reflect a vendor-customer relationship, we consistently apply the reasonable and rational policy election we made by analogizing to authoritative accounting literature.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 the income statement classification for presentation of amounts due from or owed to other participants associated with multiple activities in a collaboration arrangement based on the nature of each separate activity. For example, in our WAINUA collaboration with AstraZeneca, we recognize funding received from AstraZeneca for co-development activities as revenue; while we recognize cost sharing payments to and from AstraZeneca associated with co-commercialization activities and co-medical affairs activities as selling, general and administrative, or SG&amp;A, expense and research and development, or R&amp;D, expense,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Steps to Recognize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elements of our contractual relationships that we account for under ASC 606, we use a five-step process to determine the amount of revenue we should recognize and when we should recognize it. The five-step process is as follows:</w:t>
      </w:r>
    </w:p>
    <w:p>
      <w:pPr>
        <w:pStyle w:val="TextBody"/>
        <w:bidi w:val="0"/>
        <w:spacing w:before="0" w:after="0"/>
        <w:jc w:val="left"/>
        <w:rPr/>
      </w:pPr>
      <w:r>
        <w:rPr/>
      </w:r>
    </w:p>
    <w:tbl>
      <w:tblPr>
        <w:tblW w:w="1908" w:type="dxa"/>
        <w:jc w:val="left"/>
        <w:tblInd w:w="0" w:type="dxa"/>
        <w:tblLayout w:type="fixed"/>
        <w:tblCellMar>
          <w:top w:w="0" w:type="dxa"/>
          <w:left w:w="0" w:type="dxa"/>
          <w:bottom w:w="0" w:type="dxa"/>
          <w:right w:w="0" w:type="dxa"/>
        </w:tblCellMar>
      </w:tblPr>
      <w:tblGrid>
        <w:gridCol w:w="38"/>
        <w:gridCol w:w="170"/>
        <w:gridCol w:w="17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70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Identify the contract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Accounting rules require us to first determine if we have a contract with our partner or customer.</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303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Identify the performance obligations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next identify our performance obligations, which represent the distinct goods and services we are required to provide under the contract.</w:t>
      </w:r>
    </w:p>
    <w:p>
      <w:pPr>
        <w:pStyle w:val="TextBody"/>
        <w:bidi w:val="0"/>
        <w:spacing w:before="0" w:after="0"/>
        <w:jc w:val="left"/>
        <w:rPr/>
      </w:pPr>
      <w:r>
        <w:rPr/>
      </w:r>
    </w:p>
    <w:tbl>
      <w:tblPr>
        <w:tblW w:w="2838" w:type="dxa"/>
        <w:jc w:val="left"/>
        <w:tblInd w:w="0" w:type="dxa"/>
        <w:tblLayout w:type="fixed"/>
        <w:tblCellMar>
          <w:top w:w="0" w:type="dxa"/>
          <w:left w:w="0" w:type="dxa"/>
          <w:bottom w:w="0" w:type="dxa"/>
          <w:right w:w="0" w:type="dxa"/>
        </w:tblCellMar>
      </w:tblPr>
      <w:tblGrid>
        <w:gridCol w:w="38"/>
        <w:gridCol w:w="17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2630"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Determine the transaction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then determine the transaction price by reviewing the amount of consideration we are eligible to earn under the collaboration agreement, including any variable consideration.</w:t>
      </w:r>
    </w:p>
    <w:p>
      <w:pPr>
        <w:pStyle w:val="TextBody"/>
        <w:bidi w:val="0"/>
        <w:spacing w:before="0" w:after="0"/>
        <w:jc w:val="left"/>
        <w:rPr/>
      </w:pPr>
      <w:r>
        <w:rPr/>
      </w:r>
    </w:p>
    <w:tbl>
      <w:tblPr>
        <w:tblW w:w="2688" w:type="dxa"/>
        <w:jc w:val="left"/>
        <w:tblInd w:w="0" w:type="dxa"/>
        <w:tblLayout w:type="fixed"/>
        <w:tblCellMar>
          <w:top w:w="0" w:type="dxa"/>
          <w:left w:w="0" w:type="dxa"/>
          <w:bottom w:w="0" w:type="dxa"/>
          <w:right w:w="0" w:type="dxa"/>
        </w:tblCellMar>
      </w:tblPr>
      <w:tblGrid>
        <w:gridCol w:w="38"/>
        <w:gridCol w:w="170"/>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4.</w:t>
            </w:r>
          </w:p>
        </w:tc>
        <w:tc>
          <w:tcPr>
            <w:tcW w:w="248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Allocate the transaction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Next, we allocate the transaction price to each of our performance obligations. When we have to allocate the transaction price to more than one performance obligation, we make estimates of the relative stand-alone selling price of each performance obligation because we do not typically sell our goods or services on a stand-alone basis. We then allocate the transaction price to each performance obligation based on the relative stand-alone selling price. We do not reallocate the transaction price after the start of an agreement to reflect subsequent changes in stand-alone selling prices.</w:t>
      </w:r>
    </w:p>
    <w:p>
      <w:pPr>
        <w:pStyle w:val="TextBody"/>
        <w:bidi w:val="0"/>
        <w:spacing w:before="0" w:after="0"/>
        <w:jc w:val="left"/>
        <w:rPr/>
      </w:pPr>
      <w:r>
        <w:rPr/>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5.</w:t>
            </w:r>
          </w:p>
        </w:tc>
        <w:tc>
          <w:tcPr>
            <w:tcW w:w="1565" w:type="dxa"/>
            <w:tcBorders/>
            <w:vAlign w:val="center"/>
          </w:tcPr>
          <w:p>
            <w:pPr>
              <w:pStyle w:val="TableContents"/>
              <w:bidi w:val="0"/>
              <w:spacing w:before="0" w:after="0"/>
              <w:jc w:val="both"/>
              <w:rPr>
                <w:rFonts w:ascii="Times New Roman;Times;serif" w:hAnsi="Times New Roman;Times;serif"/>
                <w:i/>
                <w:sz w:val="20"/>
              </w:rPr>
            </w:pPr>
            <w:r>
              <w:rPr>
                <w:rFonts w:ascii="Times New Roman;Times;serif" w:hAnsi="Times New Roman;Times;serif"/>
                <w:i/>
                <w:sz w:val="20"/>
              </w:rPr>
              <w:t>Recognize revenue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revenue in one of two ways, over time or at a point in time. We recognize revenue over time when we are executing on our performance obligation over time and our partner receives benefit over time. For example, we recognize revenue over time when we provide R&amp;D services. We recognize revenue at a point in time when our partner receives full use of an item at a specific point in time. For example, we recognize revenue at a point in time when we deliver a license or API to a partner.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royalty revenue in the period in which the counterparty sells the related product and recognizes the related revenue, which in certain cases may require us to estimate our royalty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Amendments to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amend our collaboration agreements. When this occurs, we are required to assess the following items to determine the accounting for the amendment:</w:t>
      </w:r>
    </w:p>
    <w:p>
      <w:pPr>
        <w:pStyle w:val="TextBody"/>
        <w:bidi w:val="0"/>
        <w:spacing w:before="0" w:after="0"/>
        <w:jc w:val="left"/>
        <w:rPr/>
      </w:pPr>
      <w:r>
        <w:rPr/>
      </w:r>
    </w:p>
    <w:tbl>
      <w:tblPr>
        <w:tblW w:w="10008" w:type="dxa"/>
        <w:jc w:val="left"/>
        <w:tblInd w:w="0" w:type="dxa"/>
        <w:tblLayout w:type="fixed"/>
        <w:tblCellMar>
          <w:top w:w="0" w:type="dxa"/>
          <w:left w:w="0" w:type="dxa"/>
          <w:bottom w:w="0" w:type="dxa"/>
          <w:right w:w="0" w:type="dxa"/>
        </w:tblCellMar>
      </w:tblPr>
      <w:tblGrid>
        <w:gridCol w:w="38"/>
        <w:gridCol w:w="185"/>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additional goods and/or services are distinct from the other performance obligations in the original agreement; and</w:t>
            </w:r>
          </w:p>
        </w:tc>
      </w:tr>
    </w:tbl>
    <w:tbl>
      <w:tblPr>
        <w:tblW w:w="5568" w:type="dxa"/>
        <w:jc w:val="left"/>
        <w:tblInd w:w="0" w:type="dxa"/>
        <w:tblLayout w:type="fixed"/>
        <w:tblCellMar>
          <w:top w:w="0" w:type="dxa"/>
          <w:left w:w="0" w:type="dxa"/>
          <w:bottom w:w="0" w:type="dxa"/>
          <w:right w:w="0" w:type="dxa"/>
        </w:tblCellMar>
      </w:tblPr>
      <w:tblGrid>
        <w:gridCol w:w="38"/>
        <w:gridCol w:w="18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If the goods and/or services are sold at a stand-alone selling price.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If we conclude the goods and/or services in the amendment are distinct from the performance obligations in the original agreement and at a stand-alone selling price, we account for the amendment as a separate agreement. If we conclude the goods and/or services are not distinct and are sold at a stand-alone selling price, we then assess whether the remaining goods or services are distinct from those already provided. If the goods and/or services are distinct from what we have already provided, then we allocate the remaining transaction price from the original agreement and the additional transaction price from the amendment to the remaining goods and/or services. If the goods and/or services are not distinct from what we have already provided, we update the transaction price for our single performance obligation and recognize any change in our estimated revenue as a cumulative-effect adjustment.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Multiple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may enter into separate agreements at or near the same time with the same partner. We evaluate such agreements to determine whether we should account for them individually as distinct arrangements or whether the separate agreements should be combined and accounted for together. We evaluate the following to determine the accounting for the agreements:</w:t>
      </w:r>
    </w:p>
    <w:p>
      <w:pPr>
        <w:pStyle w:val="TextBody"/>
        <w:bidi w:val="0"/>
        <w:spacing w:before="0" w:after="0"/>
        <w:jc w:val="left"/>
        <w:rPr/>
      </w:pPr>
      <w:r>
        <w:rPr/>
      </w:r>
    </w:p>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agreements were negotiated together with a single objective;</w:t>
            </w:r>
          </w:p>
        </w:tc>
      </w:tr>
    </w:tbl>
    <w:tbl>
      <w:tblPr>
        <w:tblW w:w="9633" w:type="dxa"/>
        <w:jc w:val="left"/>
        <w:tblInd w:w="0" w:type="dxa"/>
        <w:tblLayout w:type="fixed"/>
        <w:tblCellMar>
          <w:top w:w="0" w:type="dxa"/>
          <w:left w:w="0" w:type="dxa"/>
          <w:bottom w:w="0" w:type="dxa"/>
          <w:right w:w="0" w:type="dxa"/>
        </w:tblCellMar>
      </w:tblPr>
      <w:tblGrid>
        <w:gridCol w:w="38"/>
        <w:gridCol w:w="17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amount of consideration in one contract depends on the price or performance of the other agreement; or</w:t>
            </w:r>
          </w:p>
        </w:tc>
      </w:tr>
    </w:tbl>
    <w:tbl>
      <w:tblPr>
        <w:tblW w:w="8553" w:type="dxa"/>
        <w:jc w:val="left"/>
        <w:tblInd w:w="0" w:type="dxa"/>
        <w:tblLayout w:type="fixed"/>
        <w:tblCellMar>
          <w:top w:w="0" w:type="dxa"/>
          <w:left w:w="0" w:type="dxa"/>
          <w:bottom w:w="0" w:type="dxa"/>
          <w:right w:w="0" w:type="dxa"/>
        </w:tblCellMar>
      </w:tblPr>
      <w:tblGrid>
        <w:gridCol w:w="38"/>
        <w:gridCol w:w="17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Whether the goods and/or services promised under the agreements are a single performance obligation.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evaluation involves significant judgment to determine whether a group of agreements might be so closely related that accounting guidance requires us to account for them as a combined arrangement.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for further discussion of our 2018 neurology collaboration with Biogen that included multiple agreements which we negotiated concurrently and in contemplation of one another.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1080"/>
        <w:jc w:val="left"/>
        <w:rPr>
          <w:rFonts w:ascii="Times New Roman;Times;serif" w:hAnsi="Times New Roman;Times;serif"/>
          <w:b/>
          <w:color w:val="000000"/>
          <w:sz w:val="20"/>
        </w:rPr>
      </w:pPr>
      <w:r>
        <w:rPr>
          <w:rFonts w:ascii="Times New Roman;Times;serif" w:hAnsi="Times New Roman;Times;serif"/>
          <w:b/>
          <w:color w:val="000000"/>
          <w:sz w:val="20"/>
        </w:rPr>
        <w:t>Contracts Receivable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contracts receivable balance represents the amounts we have billed our partners or customers and that are due to us unconditionally for goods we have delivered or services we have performed. When we bill our partners or customers with payment terms based on the passage of time, we consider the contracts receivable to be unconditional. We typically receive payment within one quarter of billing our partner or customer.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2024, approximately 95.6 percent of our contracts receivables were from three significant customers. As of December 31, 2023, approximately 87.8 percent of our contracts receivables were from one significant customer.</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Unbilled Royalties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unbilled royalties represent our right to receive consideration from our partners in advance of when we are eligible to bill them for royalties. We include these unbilled amounts in other current assets in our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1080"/>
        <w:jc w:val="left"/>
        <w:rPr>
          <w:rFonts w:ascii="Times New Roman;Times;serif" w:hAnsi="Times New Roman;Times;serif"/>
          <w:b/>
          <w:color w:val="000000"/>
          <w:sz w:val="20"/>
        </w:rPr>
      </w:pPr>
      <w:r>
        <w:rPr>
          <w:rFonts w:ascii="Times New Roman;Times;serif" w:hAnsi="Times New Roman;Times;serif"/>
          <w:b/>
          <w:color w:val="000000"/>
          <w:sz w:val="20"/>
        </w:rPr>
        <w:t>Deferred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often entitled to bill our customers and receive payment from our customers in advance of our obligation to provide services or transfer goods to our partners. In these instances, we include the amounts in deferred revenue in our consolidated balance sheets. During the years ended December 31, 2024 and 2023, we recognized $166.1 million and $78.2 million of revenue from amounts that were in our beginning deferred revenue balance for each respective period. For further discussion, refer to our revenue recognition policy above.</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Cost of Sales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cost of sales is comprised of costs related to our commercial revenue, including manufacturing costs, transportation and freight costs and indirect overhead costs associated with the manufacturing and distribution of our products. We also may include certain period costs related to manufacturing services and inventory adjustments in cost of sales.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Research, Development and Patent Expenses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research, development and patent expenses include wages, benefits, facilities, supplies, external services, clinical trial and manufacturing costs, patents and other expenses that are directly related to our R&amp;D operations. We expense R&amp;D costs as we incur them. When we make payments for R&amp;D services prior to the services being rendered, we record those amounts as prepaid assets in our consolidated balance sheets and we expense them as the services are provided. A portion of the costs included in R&amp;D expenses are costs associated with our partner agreements. In 2024, 2023 and 2022, patent expenses were $5.3 million, $4.3 million and $4.7 million,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We record a valuation allowance when necessary to reduce our net deferred tax assets to the amount expected to be realized.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percent likely to be realized upon ultimate settlement.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required to use significant judgment in evaluating our uncertain tax positions and determining our provision for income taxes. Although we believe our reserves are reasonable, we can provide no assurance that the final tax outcome of these matters will not be different from that which we have reflected in our historical income tax provisions and accruals. We adjust these reserves for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we make such determination.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are also required to use significant judgment in determining any valuation allowance recorded against our deferred tax assets. In assessing the need for a valuation allowance, we consider all available evidence, including scheduled reversal of deferred tax liabilities, past operating results, the feasibility of tax planning strategies and estimates of future taxable income. We base our estimates of future taxable income on assumptions that are consistent with our plans. The assumptions we use represent our best estimates and involve inherent uncertainties and the application of our judgment. Should actual amounts differ from our estimates, the amount of our tax expense and liabilities we recognize could be materially impacted. We record a valuation allowance to reduce the balance of our net deferred tax assets to the amount we believe is more-likely-than-not to be realized. </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Basic and Diluted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Basic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compute basic net loss per share by dividing our net loss by our weighted-average number of common shares outstanding during the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Diluted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2024, 2023 and 2022, we incurred a net loss; therefore, we did not include dilutive common equivalent shares in the computation of diluted net loss per share because the effect would have been anti-dilutive. Common stock from the following would have had an anti-dilutive effect on net loss per share:</w:t>
      </w:r>
    </w:p>
    <w:p>
      <w:pPr>
        <w:pStyle w:val="TextBody"/>
        <w:bidi w:val="0"/>
        <w:spacing w:before="0" w:after="0"/>
        <w:jc w:val="left"/>
        <w:rPr/>
      </w:pPr>
      <w:r>
        <w:rPr/>
      </w:r>
    </w:p>
    <w:tbl>
      <w:tblPr>
        <w:tblW w:w="4128" w:type="dxa"/>
        <w:jc w:val="left"/>
        <w:tblInd w:w="0" w:type="dxa"/>
        <w:tblLayout w:type="fixed"/>
        <w:tblCellMar>
          <w:top w:w="0" w:type="dxa"/>
          <w:left w:w="0" w:type="dxa"/>
          <w:bottom w:w="0" w:type="dxa"/>
          <w:right w:w="0" w:type="dxa"/>
        </w:tblCellMar>
      </w:tblPr>
      <w:tblGrid>
        <w:gridCol w:w="38"/>
        <w:gridCol w:w="170"/>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0 percent convertible senior notes, or 0% Notes;</w:t>
            </w:r>
          </w:p>
        </w:tc>
      </w:tr>
    </w:tbl>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 hedges related to the 0% Notes;</w:t>
            </w:r>
          </w:p>
        </w:tc>
      </w:tr>
    </w:tbl>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0.125 percent convertible senior notes, or 0.125% Notes;</w:t>
            </w:r>
          </w:p>
        </w:tc>
      </w:tr>
    </w:tbl>
    <w:tbl>
      <w:tblPr>
        <w:tblW w:w="3603" w:type="dxa"/>
        <w:jc w:val="left"/>
        <w:tblInd w:w="0" w:type="dxa"/>
        <w:tblLayout w:type="fixed"/>
        <w:tblCellMar>
          <w:top w:w="0" w:type="dxa"/>
          <w:left w:w="0" w:type="dxa"/>
          <w:bottom w:w="0" w:type="dxa"/>
          <w:right w:w="0" w:type="dxa"/>
        </w:tblCellMar>
      </w:tblPr>
      <w:tblGrid>
        <w:gridCol w:w="38"/>
        <w:gridCol w:w="170"/>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Note hedges related to the 0.125% Notes;</w:t>
            </w:r>
          </w:p>
        </w:tc>
      </w:tr>
    </w:tbl>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Dilutive stock options;</w:t>
            </w:r>
          </w:p>
        </w:tc>
      </w:tr>
    </w:tbl>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Unvested restricted stock units, or RSUs;</w:t>
            </w:r>
          </w:p>
        </w:tc>
      </w:tr>
    </w:tbl>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Unvested performance restricted stock units, or PRSUs; and</w:t>
            </w:r>
          </w:p>
        </w:tc>
      </w:tr>
    </w:tbl>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Employee Stock Purchase Plan, or ESPP.</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2024 and 2023, common stock underlying the 1.75 percent convertible senior notes, or 1.75% Notes, would also have had an anti-dilutive effect on net loss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2024, 2023 and 2022, we had outstanding warrants related to our 0% Notes and 0.125% Notes. We will include the shares issuable under these warrants in our calculation of diluted earnings per share when the average market price per share of our common stock for the reporting period exceeds the strike price of the warrants. During 2024, 2023 and 2022, the market price of our common stock did not exceed the strike price of the warrants.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Stock-Based Compensation Expense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measure stock-based compensation expense for equity-classified awards, principally related to stock options, RSUs, PRSUs and stock purchase rights under our ESPP based on the estimated fair value of the award on the date of grant. We recognize the value of the portion of the award that we ultimately expect to vest as stock-based compensation expense over the requisite service period in our consolidated statements of operations. We reduce stock-based compensation expense for estimated forfeitures at the time of grant and revise in subsequent periods if actual forfeitures differ from those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compensation expense for stock options granted, RSUs, PRSUs and stock purchase rights under the ESPP using the accelerated multiple-option approach. Under the accelerated multiple-option approach (also known as the graded-vesting method), we recognize compensation expense over the requisite service period for each separately vesting tranche of the award as though the award were in substance multiple awards, which results in the expense being front-loaded over the vesting period.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Stock Options and Stock Purchase Rights: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the Black-Scholes model to estimate the fair value of stock options granted and stock purchase rights under our ESPP. On the grant date, we use our stock price and assumptions regarding a number of variables to determine the estimated fair value of stock-based payment awards. These variables include, but are not limited to, our expected stock price volatility over the term of the awards, and actual and projected employee stock option exercise behaviors. The expected term of stock options granted represents the period of time that we expect them to be outstanding. Historically, we estimated the expected term of options granted based on historical exercise patterns. In 2021, our Compensation Committee approved an amendment to the 2011 Equity Incentive Plan, or 2011 Plan, and the 2020 Equity Incentive Plan, or 2020 Plan, that increased the contractual term of stock options granted under these plans from seven years to ten years for stock options granted on January 1, 2022 and thereafter. We determined that we are unable to rely on our historical exercise data as a basis for estimating the expected life of stock options granted to employees following this change because the contractual term changed and we have no other means to reasonably estimate future exercise behavior. We therefore used the simplified method for determining the expected life of stock options granted to employees in the years ended December 31, 2024, 2023 and 2022. Under the simplified method, we calculate the expected term as the average of the time-to-vesting and the contractual life of the options. As we gain additional historical information, we will transition to calculating our expected term based on our historical exercise patterns.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RSU’s: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fair value of RSUs is based on the market price of our common stock on the date of grant. The RSUs we have granted to employees vest annually over a four-year period. The RSUs we granted to our board of directors prior to June 2020 vest annually over a four-year period. The annual RSUs we granted to our board of directors after June 2020 fully vest after one year. The RSUs we granted to board members at their initial appointment to the board of directors vest annually over a three-year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PRSU’s: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Beginning in 2020, we added PRSU awards to the compensation for our Chief Executive Officer, Dr. Brett Monia. Beginning in 2022, we added PRSU awards to the compensation for our other Section 16 officers. Under the terms of the PRSUs we granted in 2020 through 2022, one third of the PRSUs may vest at the end of three separate performance periods spread over the three years following the date of grant (i.e., the one-year period commencing on the date of grant and ending on the first anniversary of the date of grant; the two-year period commencing on the date of grant and ending on the second anniversary of the date of grant; and the three-year period commencing on the date of grant and ending on the third anniversary of the date of grant) based on our relative total shareholder return, or TSR, as compared to a peer group of companies, and as measured, in each case, at the end of the applicable performance period. Under the terms of the grants no number of PRSUs is guaranteed to vest and the actual number of PRSUs that will vest at the end of each performance period may be anywhere from zero to 150 percent of the target number depending on our relative TSR. These PRSU awards also included an alternative three-year payout mechanism, or the Alternative Calculation, under which we must calculate an alternative payout at the end of the final three-year measurement period assuming the only measurement period for all shares under the award was the three-year period. If the Alternative Calculation is greater than payouts under the sum of the three years, then such PRSU award will pay out to achieve the number of shares payable under the Alternative Calculation.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the PRSUs we granted in 2024 and 2023, 100 percent of the PRSUs may vest at the end of the three-year performance period based on our relative TSR as compared to a peer group of companies and as measured at the end of the performance period. Under the terms of the grants, no number of PRSUs is guaranteed to vest and the actual number of PRSUs that will vest at the end of each performance period may be anywhere from zero to 200 percent of the target number depending on our relative TSR.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 the fair value of the PRSUs using a Monte Carlo model because the performance target is based on our relative TSR, which represents a market condition. We are recognizing the grant date fair value of these awards as stock-based compensation expense using the accelerated multiple-option approach over the vesting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Refer to Note 8, </w:t>
      </w:r>
      <w:r>
        <w:rPr>
          <w:rFonts w:ascii="Times New Roman;Times;serif" w:hAnsi="Times New Roman;Times;serif"/>
          <w:i/>
          <w:color w:val="000000"/>
          <w:sz w:val="20"/>
        </w:rPr>
        <w:t>Stockholders’ Equity,</w:t>
      </w:r>
      <w:r>
        <w:rPr>
          <w:rFonts w:ascii="Times New Roman;Times;serif" w:hAnsi="Times New Roman;Times;serif"/>
          <w:color w:val="000000"/>
          <w:sz w:val="20"/>
        </w:rPr>
        <w:t xml:space="preserve"> for additional information regarding our stock-based compensation plans.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Concentration of Credit Risk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Financial instruments that potentially subject us to concentrations of credit risk consist primarily of cash equivalents, short-term investments and receivables. We place our cash equivalents and short-term investments with reputable financial institutions. We primarily invest our excess cash in commercial paper and debt instruments of the U.S. Treasury, financial institutions, corporations, and U.S. government agencies with strong credit ratings and an investment grade rating at or above A-1, P-1 or F-1 by Moody’s, Standard &amp; Poor’s, or S&amp;P, or Fitch, respectively. We have established guidelines relative to diversification and maturities that maintain safety and liquidity. We periodically review and modify these guidelines to maximize trends in yields and interest rates without compromising safety and liquidity.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estimated the fair value of our financial instruments. The amounts reported for cash, accounts receivable, accounts payable and accrued expenses approximate the fair value because of their short maturities. We report our investment securities at their estimated fair value based on quoted market prices for identical or similar instruments.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use a three-tier fair value hierarchy to prioritize the inputs used in our fair value measurements. These tiers include: Level 1, defined as observable inputs such as quoted prices in active markets for identical assets, which includes our money market funds and treasury securities classified as available-for-sale securities and our investment in equity securities in publicly traded biotechnology companies; Level 2, defined as inputs other than quoted prices in active markets that are either directly or indirectly observable, which includes our fixed income securities and commercial paper classified as available-for-sale securities; and Level 3, defined as unobservable inputs in which little or no market data exists, therefore requiring us to develop our own assumptions. We classify most of our securities as Level 2. We obtain the fair value of our Level 2 investments from our custodian bank or from a professional pricing service. We validate the fair value of our Level 2 investments by understanding the pricing model used by the custodian banks or professional pricing service provider and comparing that fair value to the fair value based on observable market prices.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Cash, Cash Equivalents and Investments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consider all liquid investments with maturities of three months or less when we purchase them to be cash equivalents. Our short-term investments have initial maturities of greater than three months from date of purchase. We classify our short-term debt investments as “available-for-sale” and carry them at fair market value based upon prices on the last day of the fiscal period for identical or similar items. We record unrealized gains and losses on debt securities as a separate component of comprehensive income (loss) and include net realized gains and losses in gain (loss) on investments in our consolidated statements of operations. We use the specific identification method to determine the cost of securities sold.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have equity investments of less than 20 percent ownership in public and private biotechnology companies that we received as part of a technology license or partner agreement. At December 31, 2024, we held equity investments in three publicly traded companies and seven privately held companies.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required to measure and record our equity investments at fair value and to recognize the changes in fair value in our consolidated statements of operations. We account for our equity investments in publicly traded companies at their listed stock price. We account for our equity investments in privately held companies at their cost minus impairments, plus or minus changes resulting from observable price changes in orderly transactions for the identical or similar investment of the same issuer.</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Inventories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reflect our inventory in our consolidated balance sheets at the lower of cost or net realizable value under the first-in, first-out method, or FIFO. Our inventory costs include material, labor and overhead costs. Our raw materials include active pharmaceutical ingredient, or API, for commercial medicines. We capitalize inventory costs related to drug products when we consider future commercialization to be probable and expect to realize future economic benefit. When evaluating whether to capitalize inventory costs, we consider various factors, including the likelihood of receiving required regulatory approvals, communications from regulatory agencies such as safety or efficacy concerns, underlying manufacturing processes and supply chain matters, shelf life of the inventory, market trends such as competition and pricing, potential legal matters and potential reimbursement strategies. We record inventory costs that do not meet our capitalization requirements as R&amp;D expense in our consolidated statements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review our inventory periodically and reduce the carrying value of items we consider to be slow moving or obsolete to their estimated net realizable value based on forecasted demand compared to quantities on hand. We consider several factors in estimating the net realizable value, including shelf life of our inventory and historical write-offs.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Capitalized Materials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capitalize the costs of certain materials that we purchase for use in manufacturing our medicines in our clinical development programs because until we use these materials, they have alternative future uses. We can use these materials in multiple products and, as a result, each material has future economic value independent of the development status of any single medicine. We include capitalized materials in other current assets in our consolidated balance sheets and expense these costs as R&amp;D expenses when the materials are used. We review our capitalized materials periodically for continued alternative future use and reduce the carrying value of items in the period in which an impairment is identified.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2024, we reclassified capitalized costs related to materials used in our clinical development programs from inventories to other current assets in our consolidated balance sheets. As such, we reclassified the respective prior period amounts to conform with the current year presentation.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carry our property, plant and equipment at cost and depreciate it on the straight-line method over its estimated useful life, which we determine as the following (in years):</w:t>
      </w:r>
    </w:p>
    <w:p>
      <w:pPr>
        <w:pStyle w:val="TextBody"/>
        <w:bidi w:val="0"/>
        <w:spacing w:before="0" w:after="0"/>
        <w:jc w:val="left"/>
        <w:rPr/>
      </w:pPr>
      <w:r>
        <w:rPr/>
      </w:r>
    </w:p>
    <w:tbl>
      <w:tblPr>
        <w:tblW w:w="6565" w:type="dxa"/>
        <w:jc w:val="left"/>
        <w:tblInd w:w="0" w:type="dxa"/>
        <w:tblLayout w:type="fixed"/>
        <w:tblCellMar>
          <w:top w:w="0" w:type="dxa"/>
          <w:left w:w="0" w:type="dxa"/>
          <w:bottom w:w="0" w:type="dxa"/>
          <w:right w:w="0" w:type="dxa"/>
        </w:tblCellMar>
      </w:tblPr>
      <w:tblGrid>
        <w:gridCol w:w="5495"/>
        <w:gridCol w:w="1070"/>
      </w:tblGrid>
      <w:tr>
        <w:trPr/>
        <w:tc>
          <w:tcPr>
            <w:tcW w:w="549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r>
      <w:tr>
        <w:trPr/>
        <w:tc>
          <w:tcPr>
            <w:tcW w:w="5495" w:type="dxa"/>
            <w:tcBorders/>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Useful Lives</w:t>
            </w:r>
          </w:p>
        </w:tc>
      </w:tr>
      <w:tr>
        <w:trPr/>
        <w:tc>
          <w:tcPr>
            <w:tcW w:w="549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Computer software, laboratory, manufacturing and other equipment</w:t>
            </w:r>
          </w:p>
        </w:tc>
        <w:tc>
          <w:tcPr>
            <w:tcW w:w="1070" w:type="dxa"/>
            <w:tcBorders>
              <w:top w:val="single" w:sz="12" w:space="0" w:color="000000"/>
            </w:tcBorders>
            <w:shd w:fill="CCEEFF" w:val="clear"/>
            <w:tcMar>
              <w:top w:w="28"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3 to 10</w:t>
            </w:r>
          </w:p>
        </w:tc>
      </w:tr>
      <w:tr>
        <w:trPr/>
        <w:tc>
          <w:tcPr>
            <w:tcW w:w="5495" w:type="dxa"/>
            <w:tcBorders/>
            <w:shd w:fill="FFFF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Building, building improvements and building systems</w:t>
            </w:r>
          </w:p>
        </w:tc>
        <w:tc>
          <w:tcPr>
            <w:tcW w:w="1070"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15 to 40</w:t>
            </w:r>
          </w:p>
        </w:tc>
      </w:tr>
      <w:tr>
        <w:trPr/>
        <w:tc>
          <w:tcPr>
            <w:tcW w:w="5495" w:type="dxa"/>
            <w:tcBorders/>
            <w:shd w:fill="CCEE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Land improvements</w:t>
            </w:r>
          </w:p>
        </w:tc>
        <w:tc>
          <w:tcPr>
            <w:tcW w:w="107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20</w:t>
            </w:r>
          </w:p>
        </w:tc>
      </w:tr>
      <w:tr>
        <w:trPr/>
        <w:tc>
          <w:tcPr>
            <w:tcW w:w="5495" w:type="dxa"/>
            <w:tcBorders/>
            <w:shd w:fill="FFFF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Leasehold improvements</w:t>
            </w:r>
          </w:p>
        </w:tc>
        <w:tc>
          <w:tcPr>
            <w:tcW w:w="1070" w:type="dxa"/>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 to 15</w:t>
            </w:r>
          </w:p>
        </w:tc>
      </w:tr>
      <w:tr>
        <w:trPr/>
        <w:tc>
          <w:tcPr>
            <w:tcW w:w="5495" w:type="dxa"/>
            <w:tcBorders/>
            <w:shd w:fill="CCEEFF" w:val="clear"/>
            <w:vAlign w:val="center"/>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Furniture and fixtures</w:t>
            </w:r>
          </w:p>
        </w:tc>
        <w:tc>
          <w:tcPr>
            <w:tcW w:w="1070" w:type="dxa"/>
            <w:tcBorders/>
            <w:shd w:fill="CCEE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5 to 10</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depreciate our leasehold improvements using the shorter of the estimated useful life or remaining lease term. We evaluate long-lived assets, which include property, plant and equipment, for impairment whenever events or changes in circumstances indicate that we may not be able to recover the carrying amount of such assets.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Accrued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numerous medicines in preclinical studies and/or clinical trials at clinical sites throughout the world. We estimate our liability for preclinical and clinical development costs we have incurred and services that we have received but for which we have not yet been billed and maintain an accrual to cover these costs. These costs primarily relate to third-party clinical management costs, laboratory and analysis costs, toxicology studies and investigator grants. We estimate our liability using assumptions about study and patient activities and the related expected expenses for those activities determined based on the contracted fees with our service providers. The assumptions we use represent our best estimates of the activity and expenses at the time of our accrual and involve inherent uncertainties and the application of our judgment. Upon settlement, these costs may differ materially from the amounts accrued in our consolidated financial statements. Our historical accrual estimates have not been materially different from our actual amounts.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Convertible Debt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account for each of our convertible debt instruments as a single unit of accounting, a liability, because we concluded that the conversion features do not require bifurcation as a derivative under ASC 815-15 and we did not issue our convertible debt instruments at a substantial premium. We record debt issuance costs as contra-liabilities in our consolidated balance sheets at issuance and amortize them over the contractual term of the convertible debt instrument using the effective interest rate. The balances of our convertible senior notes presented in our consolidated balance sheets represent the principal balance of each convertible debt instrument less debt issuance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we had two outstanding convertible senior notes, our 1.75% Notes, which mature in June 2028, and our 0% Notes, which mature in April 2026. Our 0.125% Notes matured in December 2024.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details on our convertible senior notes.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conjunction with the issuance of our 0% Notes and 0.125% Notes in April 2021 and December 2019, respectively, we entered into call spread transactions, which were comprised of purchasing note hedges and selling warrants. We account for the note hedges and warrants as separate freestanding financial instruments and treat each instrument as a separate unit of accounting. We determined that the note hedges and warrants do not meet the definition of a liability using the guidance contained in ASC Topic 480; therefore, we account for the note hedges and warrants using the </w:t>
      </w:r>
      <w:r>
        <w:rPr>
          <w:rFonts w:ascii="Times New Roman;Times;serif" w:hAnsi="Times New Roman;Times;serif"/>
          <w:i/>
          <w:color w:val="000000"/>
          <w:sz w:val="20"/>
        </w:rPr>
        <w:t>Derivatives and Hedging – Contracts in Entity’s Own Equity</w:t>
      </w:r>
      <w:r>
        <w:rPr>
          <w:rFonts w:ascii="Times New Roman;Times;serif" w:hAnsi="Times New Roman;Times;serif"/>
          <w:color w:val="000000"/>
          <w:sz w:val="20"/>
        </w:rPr>
        <w:t xml:space="preserve"> accounting guidance contained in ASC Topic 815. We determined that the note hedges and warrants meet the definition of a derivative, are indexed to our stock and meet the criteria to be classified in shareholders’ equity. We recorded the aggregate amount paid for the note hedges and the aggregate amount received for the warrants as additional paid-in capital in our consolidated balance sheets. We reassess our ability to continue to classify any outstanding note hedges and warrants in shareholders’ equity at each reporting period.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xml:space="preserve">, for further details on the call spread transactions. </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Liability Related to Sale of Future Royalties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January 2023, we entered into a royalty purchase agreement with Royalty Pharma Investments, or Royalty Pharma, to monetize a portion of our future SPINRAZA and pelacarsen royalties we are entitled to under our arrangements with Biogen and Novartis, respectively. Under our agreement with Royalty Pharma, we record upfront payments and milestone payments we receive from the sale of future royalties as a liability, net of transaction costs.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details on the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 royalty payments made to Royalty Pharma as a reduction of the liability or accrued interest and amortize the transaction costs over the estimated life of the royalty stream. We account for the associated interest expense under the effective interest rate method, while continuing to recognize the full amount of royalty revenue in the period in which the counterparty sells the related product and recognizes the related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calculate the liability related to the sale of future royalties, effective interest rate and the related interest expense using our current estimate of anticipated future royalty payments under the arrangement, which we periodically reassess based on internal projections and information from our partners who are responsible for commercializing the medicines. If there is a material change in our estimate, we will prospectively adjust the effective interest rate and the related interest expense.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 if an arrangement contains a lease at inception. We currently only have operating leases. We recognize a right-of-use operating lease asset and associated short- and long-term operating lease liability in our consolidated balance sheets for operating leases greater than one year. Our right-of-use assets represent our right to use an underlying asset for the lease term and our lease liabilities represent our obligation to make lease payments arising from the lease arrangement. We recognize our right-of-use operating lease assets and lease liabilities based on the present value of the future minimum lease payments we will pay over the lease term. We determine the lease term at the inception of each lease, and in certain cases our lease term could include renewal options if we conclude we are reasonably certain to exercise the renewal option. When we exercise a lease option that was not previously included in the initial lease term, we reassess our right-of-use asset and lease liabilities for the new lease term.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our leases do not provide an interest rate implicit in the lease, we use our incremental borrowing rate, based on the information available as of the lease inception date or at the lease option extension date in determining the present value of future payments. We recognize rent expense for our minimum lease payments on a straight-line basis over the expected term of our lease. Our leases do not include material variable or contingent lease payments. We recognize period expenses, such as common area maintenance expenses, in the period we incur the expense.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Recent Accounting Standards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November 2023, the Financial Accounting Standards Board, or FASB, issued Accounting Standard Update, or ASU, 2023-07, which provides updated guidance on segment reporting. The guidance requires public companies to disclose significant expenses that are regularly provided to the CODM, other segment items for each reportable segment and measures of segment profit or loss used by the CODM for allocating resources. In addition, the updated guidance requires public companies with a single reportable segment to provide all disclosures required under ASC 280, </w:t>
      </w:r>
      <w:r>
        <w:rPr>
          <w:rFonts w:ascii="Times New Roman;Times;serif" w:hAnsi="Times New Roman;Times;serif"/>
          <w:i/>
          <w:color w:val="000000"/>
          <w:sz w:val="20"/>
        </w:rPr>
        <w:t>Segment Reporting</w:t>
      </w:r>
      <w:r>
        <w:rPr>
          <w:rFonts w:ascii="Times New Roman;Times;serif" w:hAnsi="Times New Roman;Times;serif"/>
          <w:color w:val="000000"/>
          <w:sz w:val="20"/>
        </w:rPr>
        <w:t xml:space="preserve">, and public companies to include in interim reports all disclosures related to a reportable segment’s profit or loss and assets that are currently required in annual reports. This update is effective for annual periods beginning after December 15, 2023 and interim periods beginning after December 15, 2024. The guidance is applied on a retrospective basis for all periods presented in the financial statements, unless it is impracticable. We adopted the annual reporting requirements in our 2024 Annual Report on Form 10-K. We expect to adopt the interim reporting requirements in our Quarterly Report on Form 10-Q in the first quarter of 2025. Refer to Note 12, </w:t>
      </w:r>
      <w:r>
        <w:rPr>
          <w:rFonts w:ascii="Times New Roman;Times;serif" w:hAnsi="Times New Roman;Times;serif"/>
          <w:i/>
          <w:color w:val="000000"/>
          <w:sz w:val="20"/>
        </w:rPr>
        <w:t>Segment Information</w:t>
      </w:r>
      <w:r>
        <w:rPr>
          <w:rFonts w:ascii="Times New Roman;Times;serif" w:hAnsi="Times New Roman;Times;serif"/>
          <w:color w:val="000000"/>
          <w:sz w:val="20"/>
        </w:rPr>
        <w:t>, for further details on our segment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the FASB issued ASU 2023-09, which provides updated guidance on income tax disclosures. The new guidance requires companies to provide additional disaggregation of information related to the income tax rate reconciliation and income tax payments. In addition, the guidance eliminates certain existing disclosure requirements related to uncertain tax positions and unrecognized deferred tax liabilities. This update is effective for annual periods beginning after December 15, 2024. Early adoption of this guidance is permitted. The guidance may be applied on a prospective or retrospective basis. We currently plan to adopt this guidance in our 2025 Annual Report on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2024, the FASB issued ASU 2024-03, which requires public companies to disclose disaggregated expenses for certain expenses in the income statement. This update is effective for annual periods beginning after December 15, 2026 and interim periods within annual periods beginning after December 15, 2027. Early adoption of this guidance is permitted. The guidance may be applied on a prospective or retrospective basis. We are currently assessing the impact and timing of adopting this update.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2024, the FASB issued ASU 2024-04 to clarify the guidance for determining whether to account for early settlements of convertible debt as induced conversions or extinguishments. This update is effective for annual periods beginning after December 15, 2025 and interim periods within those annual periods. Early adoption of this guidance is permitted. The guidance may be applied on a prospective or retrospective basis. We are currently assessing the impact and timing of adopting this update.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do not expect any other recently issued accounting standards to have a material impact to our financial statements or disclosures.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2. Supplemental Financial Data</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Inventories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inventory consisted of the following (in thousands):</w:t>
      </w:r>
    </w:p>
    <w:p>
      <w:pPr>
        <w:pStyle w:val="TextBody"/>
        <w:bidi w:val="0"/>
        <w:spacing w:before="0" w:after="0"/>
        <w:jc w:val="left"/>
        <w:rPr/>
      </w:pPr>
      <w:r>
        <w:rPr/>
      </w:r>
    </w:p>
    <w:tbl>
      <w:tblPr>
        <w:tblW w:w="3010" w:type="dxa"/>
        <w:jc w:val="left"/>
        <w:tblInd w:w="0" w:type="dxa"/>
        <w:tblLayout w:type="fixed"/>
        <w:tblCellMar>
          <w:top w:w="0" w:type="dxa"/>
          <w:left w:w="0" w:type="dxa"/>
          <w:bottom w:w="0" w:type="dxa"/>
          <w:right w:w="0" w:type="dxa"/>
        </w:tblCellMar>
      </w:tblPr>
      <w:tblGrid>
        <w:gridCol w:w="1430"/>
        <w:gridCol w:w="60"/>
        <w:gridCol w:w="125"/>
        <w:gridCol w:w="590"/>
        <w:gridCol w:w="60"/>
        <w:gridCol w:w="60"/>
        <w:gridCol w:w="125"/>
        <w:gridCol w:w="485"/>
        <w:gridCol w:w="75"/>
      </w:tblGrid>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45"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388" w:right="0" w:hanging="388"/>
              <w:jc w:val="both"/>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1,810</w:t>
            </w:r>
          </w:p>
        </w:tc>
        <w:tc>
          <w:tcPr>
            <w:tcW w:w="7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Work in process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5,477</w:t>
            </w:r>
          </w:p>
        </w:tc>
        <w:tc>
          <w:tcPr>
            <w:tcW w:w="75"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w:t>
            </w:r>
          </w:p>
        </w:tc>
        <w:tc>
          <w:tcPr>
            <w:tcW w:w="7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569" w:right="0" w:hanging="0"/>
              <w:jc w:val="both"/>
              <w:rPr>
                <w:rFonts w:ascii="Times New Roman;Times;serif" w:hAnsi="Times New Roman;Times;serif"/>
                <w:sz w:val="20"/>
              </w:rPr>
            </w:pPr>
            <w:r>
              <w:rPr>
                <w:rFonts w:ascii="Times New Roman;Times;serif" w:hAnsi="Times New Roman;Times;serif"/>
                <w:sz w:val="20"/>
              </w:rPr>
              <w:t>Total inventories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7,441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Property, Plant and Equipment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property, plant and equipment consisted of the following (in thousands):</w:t>
      </w:r>
    </w:p>
    <w:p>
      <w:pPr>
        <w:pStyle w:val="TextBody"/>
        <w:bidi w:val="0"/>
        <w:spacing w:before="0" w:after="0"/>
        <w:jc w:val="left"/>
        <w:rPr/>
      </w:pPr>
      <w:r>
        <w:rPr/>
      </w:r>
    </w:p>
    <w:tbl>
      <w:tblPr>
        <w:tblW w:w="7490" w:type="dxa"/>
        <w:jc w:val="left"/>
        <w:tblInd w:w="0" w:type="dxa"/>
        <w:tblLayout w:type="fixed"/>
        <w:tblCellMar>
          <w:top w:w="0" w:type="dxa"/>
          <w:left w:w="0" w:type="dxa"/>
          <w:bottom w:w="0" w:type="dxa"/>
          <w:right w:w="0" w:type="dxa"/>
        </w:tblCellMar>
      </w:tblPr>
      <w:tblGrid>
        <w:gridCol w:w="5495"/>
        <w:gridCol w:w="60"/>
        <w:gridCol w:w="125"/>
        <w:gridCol w:w="755"/>
        <w:gridCol w:w="80"/>
        <w:gridCol w:w="60"/>
        <w:gridCol w:w="125"/>
        <w:gridCol w:w="695"/>
        <w:gridCol w:w="95"/>
      </w:tblGrid>
      <w:tr>
        <w:trPr/>
        <w:tc>
          <w:tcPr>
            <w:tcW w:w="5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0"/>
              <w:ind w:left="132" w:right="0" w:hanging="0"/>
              <w:jc w:val="left"/>
              <w:rPr>
                <w:rFonts w:ascii="Times New Roman;Times;serif" w:hAnsi="Times New Roman;Times;serif"/>
                <w:sz w:val="20"/>
              </w:rPr>
            </w:pPr>
            <w:r>
              <w:rPr>
                <w:rFonts w:ascii="Times New Roman;Times;serif" w:hAnsi="Times New Roman;Times;serif"/>
                <w:sz w:val="20"/>
              </w:rPr>
              <w:t>Computer software, laboratory, manufacturing and other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86,540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79,885</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Building, building improvements and building systems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41,228</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54,375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28,276</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Furniture and fixtures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9,844</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191,998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159,233</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(106,316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(96,759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85,682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62,474</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48"/>
              <w:jc w:val="both"/>
              <w:rPr>
                <w:rFonts w:ascii="Times New Roman;Times;serif" w:hAnsi="Times New Roman;Times;serif"/>
                <w:sz w:val="20"/>
              </w:rPr>
            </w:pPr>
            <w:r>
              <w:rPr>
                <w:rFonts w:ascii="Times New Roman;Times;serif" w:hAnsi="Times New Roman;Times;serif"/>
                <w:sz w:val="20"/>
              </w:rPr>
              <w:t>Land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8,569</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672" w:right="0" w:hanging="0"/>
              <w:jc w:val="both"/>
              <w:rPr/>
            </w:pPr>
            <w:r>
              <w:rPr/>
              <w:t> </w:t>
            </w: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94,251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71,043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Accrued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accrued liabilities consisted of the following (in thousands):</w:t>
      </w:r>
    </w:p>
    <w:p>
      <w:pPr>
        <w:pStyle w:val="TextBody"/>
        <w:bidi w:val="0"/>
        <w:spacing w:before="0" w:after="0"/>
        <w:jc w:val="left"/>
        <w:rPr/>
      </w:pPr>
      <w:r>
        <w:rPr/>
      </w:r>
    </w:p>
    <w:tbl>
      <w:tblPr>
        <w:tblW w:w="4360" w:type="dxa"/>
        <w:jc w:val="left"/>
        <w:tblInd w:w="0" w:type="dxa"/>
        <w:tblLayout w:type="fixed"/>
        <w:tblCellMar>
          <w:top w:w="0" w:type="dxa"/>
          <w:left w:w="0" w:type="dxa"/>
          <w:bottom w:w="0" w:type="dxa"/>
          <w:right w:w="0" w:type="dxa"/>
        </w:tblCellMar>
      </w:tblPr>
      <w:tblGrid>
        <w:gridCol w:w="2465"/>
        <w:gridCol w:w="60"/>
        <w:gridCol w:w="125"/>
        <w:gridCol w:w="695"/>
        <w:gridCol w:w="60"/>
        <w:gridCol w:w="60"/>
        <w:gridCol w:w="125"/>
        <w:gridCol w:w="695"/>
        <w:gridCol w:w="75"/>
      </w:tblGrid>
      <w:tr>
        <w:trPr/>
        <w:tc>
          <w:tcPr>
            <w:tcW w:w="2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Clinical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105,967</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In-licensing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7,454</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Commercial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4,875</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Other miscellaneous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29,598</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accrued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108,438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147,894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3. Revenues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our revenues were comprised of the following (in thousands):</w:t>
      </w:r>
    </w:p>
    <w:p>
      <w:pPr>
        <w:pStyle w:val="TextBody"/>
        <w:bidi w:val="0"/>
        <w:spacing w:before="0" w:after="0"/>
        <w:jc w:val="left"/>
        <w:rPr/>
      </w:pPr>
      <w:r>
        <w:rPr/>
      </w:r>
    </w:p>
    <w:tbl>
      <w:tblPr>
        <w:tblW w:w="6875" w:type="dxa"/>
        <w:jc w:val="left"/>
        <w:tblInd w:w="0" w:type="dxa"/>
        <w:tblLayout w:type="fixed"/>
        <w:tblCellMar>
          <w:top w:w="0" w:type="dxa"/>
          <w:left w:w="0" w:type="dxa"/>
          <w:bottom w:w="0" w:type="dxa"/>
          <w:right w:w="0" w:type="dxa"/>
        </w:tblCellMar>
      </w:tblPr>
      <w:tblGrid>
        <w:gridCol w:w="4040"/>
        <w:gridCol w:w="60"/>
        <w:gridCol w:w="125"/>
        <w:gridCol w:w="695"/>
        <w:gridCol w:w="60"/>
        <w:gridCol w:w="60"/>
        <w:gridCol w:w="125"/>
        <w:gridCol w:w="695"/>
        <w:gridCol w:w="60"/>
        <w:gridCol w:w="60"/>
        <w:gridCol w:w="125"/>
        <w:gridCol w:w="695"/>
        <w:gridCol w:w="75"/>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240,379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242,314</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WAINUA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hanging="540"/>
              <w:jc w:val="left"/>
              <w:rPr>
                <w:rFonts w:ascii="Times New Roman;Times;serif" w:hAnsi="Times New Roman;Times;serif"/>
                <w:sz w:val="20"/>
              </w:rPr>
            </w:pPr>
            <w:r>
              <w:rPr>
                <w:rFonts w:ascii="Times New Roman;Times;serif" w:hAnsi="Times New Roman;Times;serif"/>
                <w:sz w:val="20"/>
              </w:rPr>
              <w:t>Other commercial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TEGSEDI and WAYLIVRA revenue,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30,051</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hanging="180"/>
              <w:jc w:val="left"/>
              <w:rPr>
                <w:rFonts w:ascii="Times New Roman;Times;serif" w:hAnsi="Times New Roman;Times;serif"/>
                <w:sz w:val="20"/>
              </w:rPr>
            </w:pPr>
            <w:r>
              <w:rPr>
                <w:rFonts w:ascii="Times New Roman;Times;serif" w:hAnsi="Times New Roman;Times;serif"/>
                <w:sz w:val="20"/>
              </w:rPr>
              <w:t>Other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30,993</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other commercial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61,044</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900" w:right="0" w:firstLine="360"/>
              <w:jc w:val="left"/>
              <w:rPr>
                <w:rFonts w:ascii="Times New Roman;Times;serif" w:hAnsi="Times New Roman;Times;serif"/>
                <w:sz w:val="20"/>
              </w:rPr>
            </w:pPr>
            <w:r>
              <w:rPr>
                <w:rFonts w:ascii="Times New Roman;Times;serif" w:hAnsi="Times New Roman;Times;serif"/>
                <w:sz w:val="20"/>
              </w:rPr>
              <w:t>Total commercial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293,076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308,591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303,358</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Research and development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Collaborative agreement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352,657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207,222</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WAINUA joint development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126,399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76,787</w:t>
            </w:r>
          </w:p>
        </w:tc>
        <w:tc>
          <w:tcPr>
            <w:tcW w:w="7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540" w:right="0" w:firstLine="720"/>
              <w:jc w:val="left"/>
              <w:rPr>
                <w:rFonts w:ascii="Times New Roman;Times;serif" w:hAnsi="Times New Roman;Times;serif"/>
                <w:sz w:val="20"/>
              </w:rPr>
            </w:pPr>
            <w:r>
              <w:rPr>
                <w:rFonts w:ascii="Times New Roman;Times;serif" w:hAnsi="Times New Roman;Times;serif"/>
                <w:sz w:val="20"/>
              </w:rPr>
              <w:t>Total research and development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412,062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479,056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284,009</w:t>
            </w:r>
          </w:p>
        </w:tc>
        <w:tc>
          <w:tcPr>
            <w:tcW w:w="7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540" w:right="0" w:firstLine="1080"/>
              <w:jc w:val="left"/>
              <w:rPr>
                <w:rFonts w:ascii="Times New Roman;Times;serif" w:hAnsi="Times New Roman;Times;serif"/>
                <w:sz w:val="20"/>
              </w:rPr>
            </w:pPr>
            <w:r>
              <w:rPr>
                <w:rFonts w:ascii="Times New Roman;Times;serif" w:hAnsi="Times New Roman;Times;serif"/>
                <w:sz w:val="20"/>
              </w:rPr>
              <w:t>Total revenue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587,367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color w:val="000000"/>
          <w:sz w:val="20"/>
        </w:rPr>
      </w:pPr>
      <w:r>
        <w:rPr>
          <w:rFonts w:ascii="Times New Roman;Times;serif" w:hAnsi="Times New Roman;Times;serif"/>
          <w:b/>
          <w:color w:val="000000"/>
          <w:sz w:val="20"/>
          <w:u w:val="single"/>
        </w:rPr>
        <w:t>Revenue Sources</w:t>
      </w:r>
      <w:r>
        <w:rPr>
          <w:rFonts w:ascii="Times New Roman;Times;serif" w:hAnsi="Times New Roman;Times;serif"/>
          <w:b/>
          <w:color w:val="000000"/>
          <w:sz w:val="2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are sources of revenue and when we typically recognize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Commercial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earn commercial revenue primarily in the form of royalty payments on net sales of SPINRAZA and WAINUA. In 2024, we began earning royalties on net sales of WAINUA.</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earn commercial revenue from TEGSEDI and WAYLIVRA sales under our distribution agreements with Sobi. In addition, we receive royalties from PTC Therapeutics International Limited, or PTC, for TEGSEDI and WAYLIVRA sales. Refer to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for details on our commercialization partnerships with Sobi and PTC.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recognize as commercial revenue sales milestone payments and royalties we earn under our other collaborations.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2024, the FDA approved TRYNGOLZA (olezarsen) in the U.S. for the treatment of familial chylomicronemia syndrome, or FCS. Our launch of TRYNGOLZA is currently underway.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Research and development revenue under collaboration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 into collaboration agreements to license and sell our technology on an exclusive or non-exclusive basis. Our collaboration agreements typically contain multiple elements, or performance obligations, including technology licenses or options to obtain technology licenses, R&amp;D services and manufacturing services.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R&amp;D services that we recognize over time, we measure our progress using an input method. The input methods we use are based on the effort we expend or costs we incur toward the satisfaction of our performance obligation. We estimate the amount of effort we expend, including the time we estimate it will take us to complete the activities, or costs we incur in a given period, relative to the estimated total effort or costs to satisfy the performance obligation. This results in a percentage that we multiply by the transaction price to determine the amount of revenue we recognize each period. This approach requires us to make numerous estimates and may use judgement. If our estimates or judgements change over the course of the collaboration, they may affect the timing and amount of revenue that we recognize in the current and future periods.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Upfront payments:</w:t>
      </w:r>
      <w:r>
        <w:rPr>
          <w:rFonts w:ascii="Times New Roman;Times;serif" w:hAnsi="Times New Roman;Times;serif"/>
          <w:i/>
          <w:color w:val="000000"/>
          <w:sz w:val="20"/>
        </w:rPr>
        <w:t> </w:t>
      </w:r>
      <w:r>
        <w:rPr>
          <w:rFonts w:ascii="Times New Roman;Times;serif" w:hAnsi="Times New Roman;Times;serif"/>
          <w:color w:val="000000"/>
          <w:sz w:val="20"/>
        </w:rPr>
        <w:t>When we enter into a collaboration agreement and receive an upfront payment, we record the entire upfront payment as deferred revenue if our only performance obligation is for R&amp;D services we will provide in the future. We amortize the upfront payment into revenue as we perform the R&amp;D services. If part or all of the upfront payment is a license fee, we recognize as revenue the portion related to the license when we deliver the license to our partner because our partner has full use of the license and we do not have any additional performance obligations related to the license after delivery.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Milestone payments:</w:t>
      </w:r>
      <w:r>
        <w:rPr>
          <w:rFonts w:ascii="Times New Roman;Times;serif" w:hAnsi="Times New Roman;Times;serif"/>
          <w:i/>
          <w:color w:val="000000"/>
          <w:sz w:val="20"/>
        </w:rPr>
        <w:t> </w:t>
      </w:r>
      <w:r>
        <w:rPr>
          <w:rFonts w:ascii="Times New Roman;Times;serif" w:hAnsi="Times New Roman;Times;serif"/>
          <w:color w:val="000000"/>
          <w:sz w:val="20"/>
        </w:rPr>
        <w:t>We include variable consideration in the transaction price when it is probable. We typically include milestone payments for R&amp;D services in the transaction price when they are achieved. We include these milestone payments when they are achieved because there is considerable uncertainty in the research and development processes that trigger these payments. Similarly, we include regulatory milestone payments in the transaction price once the medicine is approved by the applicable regulatory agency. We will recognize sales-based milestone payments in the period in which we achieve the milestone under the sales-based royalty exception allowed under accounting rules.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milestone payments that relate to an ongoing performance obligation over our period of performance. For example, when we achieve a milestone payment from a partner for advancing a clinical study under a collaboration agreement, we add the milestone payment to the transaction price if the milestone relates to an ongoing R&amp;D services performance obligation and recognize revenue related to the milestone payment over our estimated period of performance. If we have partially completed our performance obligation, then we record a cumulative-effect adjustment in the period we add the milestone payment to the transaction price.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Conversely, we recognize in full those milestone payments that we earn based on our partners’ activities when our partner achieves the milestone event and we do not have a remaining performance obligation. For example, in 2024, we earned a $10 million milestone payment from Biogen when the Ministry of Health, Labour and Welfare of Japan approved Biogen’s Japanese New Drug Application filing of QALSODY, which we recognized in full because we did not have any remaining performance obligations related to this milestone payment.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u w:val="single"/>
        </w:rPr>
        <w:t>License fees:</w:t>
      </w:r>
      <w:r>
        <w:rPr>
          <w:rFonts w:ascii="Times New Roman;Times;serif" w:hAnsi="Times New Roman;Times;serif"/>
          <w:i/>
          <w:color w:val="000000"/>
          <w:sz w:val="20"/>
        </w:rPr>
        <w:t> </w:t>
      </w:r>
      <w:r>
        <w:rPr>
          <w:rFonts w:ascii="Times New Roman;Times;serif" w:hAnsi="Times New Roman;Times;serif"/>
          <w:color w:val="000000"/>
          <w:sz w:val="20"/>
        </w:rPr>
        <w:t>We recognize as revenue the total amount we determine to be the relative stand-alone selling price of a license when we deliver the license to our partner because our partner has full use of the license and we do not have any additional performance obligations related to the license after delivery.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 with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2021, we entered into a joint development and commercialization agreement with AstraZeneca to develop and commercialize WAINUA for the treatment of transthyretin amyloidosis, or ATTR. Under the terms of the agreement, we received a $200 million upfront payment in 2021. Refer to Note 4, </w:t>
      </w:r>
      <w:r>
        <w:rPr>
          <w:rFonts w:ascii="Times New Roman;Times;serif" w:hAnsi="Times New Roman;Times;serif"/>
          <w:i/>
          <w:color w:val="000000"/>
          <w:sz w:val="20"/>
        </w:rPr>
        <w:t>Collaborative Arrangements and Licensing Agreements</w:t>
      </w:r>
      <w:r>
        <w:rPr>
          <w:rFonts w:ascii="Times New Roman;Times;serif" w:hAnsi="Times New Roman;Times;serif"/>
          <w:color w:val="000000"/>
          <w:sz w:val="20"/>
        </w:rPr>
        <w:t>, for further details on this collaboration.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F-19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evaluated our WAINUA collaboration under ASC 808 and identified four material components: (i) the license we granted to AstraZeneca in 2021, (ii) the co-development activities that we and AstraZeneca are performing, (iii) the co-commercialization activities that we and AstraZeneca are performing and (iv) the co-medical affairs activities that we and AstraZeneca are performing.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that we had a vendor-customer relationship within the scope of ASC 606 for the license we granted to AstraZeneca and as a result we had one performance obligation. For our sole performance obligation, we determined the transaction price was the $200 million upfront payment we received. We recognized the upfront payment in full in 2021 because we did not have any remaining performance obligations after we delivered the license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concluded that the co-development activities, the co-commercialization activities and the co-medical affairs activities are within the scope of ASC 808 because we and AstraZeneca are active participants exposed to the risks and benefits of the activities under the collaboration and therefore do not have a vendor-customer relationship. AstraZeneca is currently responsible for 55 percent of the costs associated with the ongoing global Phase 3 development program. Because we are leading the Phase 3 development program, we made an accounting policy election to recognize as non-customer revenue the cost-share funding from AstraZeneca, net of our share of AstraZeneca’s development expenses, in the same period we incur the related development expenses. As AstraZeneca is responsible for the majority of the commercial and medical affairs costs in the U.S. and all costs associated with bringing WAINUA to market outside the U.S., we made an accounting policy election to recognize cost-share funding we receive from AstraZeneca related to commercial and medical affairs activities as reductions of our SG&amp;A expense and R&amp;D expense,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Swedish Orphan Biovitrum AB (Sobi)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our distribution agreements with Swedish Orphan Biovitrum AB, or Sobi, we concluded that our performance obligation is to provide services to Sobi over the term of the agreement, which includes supplying finished goods inventory to Sobi. We are also responsible for maintaining the marketing authorization for TEGSEDI and WAYLIVRA in major markets and for leading the global commercial strategy for each medicine. We view this performance obligation as a series of distinct activities that are substantially the same. Therefore, we recognize as revenue the price Sobi pays us for the inventory when we deliver the finished goods inventory to Sobi. We also recognize distribution fee revenue based on Sobi’s net sales of TEGSEDI and WAYLIVRA. Under our agreements with Sobi, Sobi does not generally have a right of return.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 Collaborative Arrangements and Licensing Agreements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WAINUA (Eplontersen)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entered into a joint development and commercialization agreement with AstraZeneca to develop and commercialize eplontersen for the treatment of ATTR. The FDA and Health Canada approved eplontersen with the brand name, WAINUA, for hereditary ATTR, or ATTRv-PN, while the Medicines and Healthcare products Regulatory Agency, or MHRA, approved WAINUA for ATTRv-PN in the United Kingdom, or UK, as WAINZUA. Under the agreement, we are jointly developing WAINUA with AstraZeneca worldwide for ATTRv-PN and ATTR cardiomyopathy, or ATTR-CM. We are jointly commercializing WAINUA with AstraZeneca in the U.S. We granted AstraZeneca exclusive rights to commercialize WAINUA outside the 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$3.6 billion, which is comprised of a $200 million upfront payment, up to $485 million in development and approval milestone payments and up to $2.9 billion in sales milestone payments. The agreement includes territory-specific development, commercial and medical affairs cost-sharing provisions. In addition, we are eligible to receive up to mid-20 percent royalties for sales in the U.S. and tiered royalties up to the high teens for sales outside the U.S. From inception through December 31, 2024, we have received more than $465 million in payments under this collaboration. We will achieve the next payment of $200 million or $115 million upon regulatory approval of WAINUA for ATTR-CM in the U.S. or Europe, respectively,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2024, we and AstraZeneca launched WAINUA in the U.S. for the treatment of adults with ATTRv-PN. As a result, we began earning royalties from WAINUA sales, which we recognize as commercial revenue in our consolidated statements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evaluated our WAINUA collaboration under ASC 808 and identified four material components: (i) the license we granted to AstraZeneca in 2021, (ii) the co-development activities that we and AstraZeneca will perform, (iii) the co-commercialization activities that we and AstraZeneca will perform and (iv) the co-medical affairs activities that we and AstraZeneca will perform.</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determined that we had a vendor-customer relationship within the scope of ASC 606 for the license we granted to AstraZeneca and as a result we had one performance obligation. For our sole performance obligation, we determined the transaction price was the $200 million upfront payment we received in 2021. In 2023, we earned a $20 million license fee payment when we licensed rights to Latin America for WAINUA to AstraZeneca. We recognized these payments in full because we did not have any remaining performance obligations after we delivered the licenses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concluded that the co-development activities, the co-commercialization activities and the co-medical affairs activities are within the scope of ASC 808 because we and AstraZeneca are active participants exposed to the risks and benefits of the activities under the collaboration. AstraZeneca is currently responsible for 55 percent of the costs associated with the ongoing global Phase 3 development program. Because we are leading the Phase 3 development program, we recognize as revenue the 55 percent of cost-share funding AstraZeneca is responsible for in the same period we incur the related development expenses. As AstraZeneca is responsible for the majority of the commercial and medical affairs costs in the U.S. and all costs associated with bringing WAINUA to market outside the U.S., we recognize cost-share funding we receive from AstraZeneca related to these activities as a reduction of our commercial and medical affairs expenses. In the fourth quarter of 2024, we earned a $30 million milestone payment from AstraZeneca when the MHRA approved WAINZUA for ATTRv-PN in the UK. We recognized this milestone payment in full as joint development revenue because we did not have any remaining performance obligations related to the milestone payment.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Cardiovascular, Renal and Metabolic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addition to our collaboration for WAINUA, we have a collaboration with AstraZeneca focused on discovering and developing treatments for cardiovascular, renal and metabolic diseases, which we formed in 2015. In December 2024, we amended this collaboration agreement with AstraZeneca. The amendment changed future potential milestone payments and royalties we could receive under the collaboration. We determined there were no changes that would require adjustments to revenue we previously recognized because we had no ongoing performance obligations under the agreement. Under our collaboration, AstraZeneca has licensed multiple medicines from us. AstraZeneca is responsible for global development, regulatory and commercialization activities and costs for each of the medicines it has licensed from us.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$4.3 billion, which is comprised of a $65 million upfront payment, up to $175 million in license fees, up to $514 million in development milestone payments, up to $863 million in regulatory milestone payments and up to $2.8 billion in sales milestone payments. In addition, we are eligible to receive tiered royalties up to 10 percent on net sales from any product that AstraZeneca successfully commercializes under this collaboration agreement. From inception through December 31, 2024, we have received more than $340 million in payments under this collaboration. We will achieve the next payment of up to $30 million if AstraZeneca advances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AstraZeneca. We determined the transaction price to be the $65 million upfront payment we received and we allocated it to our single performance obligation. We recognized revenue for our R&amp;D services performance obligation as we performed services based on our effort to satisfy this performance obligation relative to our total effort expected to satisfy our performance obligation. We completed our performance obligation in 2021. As we achieved milestone payments for our R&amp;D services, we included these amounts in our transaction price for our R&amp;D services performance obligation. From inception through the completion of our performance obligation, we have included $90 million in payments in the transaction price for our R&amp;D services performance obligation.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this collaboration, we have also generated additional payments that we concluded were not part of our R&amp;D services performance obligation. We recognized each of these payments in full in the respective period we generated the payment because the payments were distinct and we did not have any performance obligations for the respective payment. For example, in the fourth quarter of 2024, we earned a $25 million payment when AstraZeneca licensed a compound from us. We recognized this payment in full in 2024 because we did not have any remaining performance obligations after we delivered the license to AstraZeneca.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AstraZeneca (in thousands, except percentage amounts):</w:t>
      </w:r>
    </w:p>
    <w:p>
      <w:pPr>
        <w:pStyle w:val="TextBody"/>
        <w:bidi w:val="0"/>
        <w:spacing w:before="0" w:after="0"/>
        <w:jc w:val="left"/>
        <w:rPr/>
      </w:pPr>
      <w:r>
        <w:rPr/>
      </w:r>
    </w:p>
    <w:tbl>
      <w:tblPr>
        <w:tblW w:w="7070" w:type="dxa"/>
        <w:jc w:val="left"/>
        <w:tblInd w:w="0" w:type="dxa"/>
        <w:tblLayout w:type="fixed"/>
        <w:tblCellMar>
          <w:top w:w="0" w:type="dxa"/>
          <w:left w:w="0" w:type="dxa"/>
          <w:bottom w:w="0" w:type="dxa"/>
          <w:right w:w="0" w:type="dxa"/>
        </w:tblCellMar>
      </w:tblPr>
      <w:tblGrid>
        <w:gridCol w:w="3965"/>
        <w:gridCol w:w="60"/>
        <w:gridCol w:w="125"/>
        <w:gridCol w:w="695"/>
        <w:gridCol w:w="185"/>
        <w:gridCol w:w="60"/>
        <w:gridCol w:w="125"/>
        <w:gridCol w:w="695"/>
        <w:gridCol w:w="185"/>
        <w:gridCol w:w="60"/>
        <w:gridCol w:w="125"/>
        <w:gridCol w:w="590"/>
        <w:gridCol w:w="200"/>
      </w:tblGrid>
      <w:tr>
        <w:trPr/>
        <w:tc>
          <w:tcPr>
            <w:tcW w:w="3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4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AstraZeneca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129,759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202,236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79,160</w:t>
            </w:r>
          </w:p>
        </w:tc>
        <w:tc>
          <w:tcPr>
            <w:tcW w:w="20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AstraZeneca at December 31, 2024 and 2023.</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Biogen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b/>
          <w:i/>
          <w:color w:val="000000"/>
          <w:sz w:val="20"/>
        </w:rPr>
      </w:pPr>
      <w:r>
        <w:rPr>
          <w:rFonts w:ascii="Times New Roman;Times;serif" w:hAnsi="Times New Roman;Times;serif"/>
          <w:b/>
          <w:i/>
          <w:color w:val="000000"/>
          <w:sz w:val="20"/>
        </w:rPr>
        <w:t>Marketed Medicines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SPINRAZA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2012, we entered into a collaboration agreement with Biogen to develop and commercialize SPINRAZA, our approved medicine to treat people with spinal muscular atrophy, or SMA. From inception through December 31, 2024, we received more than $2.2 billion in total payments under this collaboration, including approximately $1.8 billion from SPINRAZA royalties and more than $425 million from R&amp;D revenue. We are receiving tiered royalties ranging from 11 percent to 15 percent on net sales of SPINRAZA. We have exclusive in-licensed patents related to SPINRAZA from Cold Spring Harbor Laboratory and the University of Massachusetts. We pay Cold Spring Harbor Laboratory and the University of Massachusetts a low single digit royalty on net sales of SPINRAZA. Biogen is responsible for all global development, regulatory and commercialization activities and costs for SPINRAZA. We completed our performance obligations under this collaboration in 2016.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2023, we entered into a royalty purchase agreement with Royalty Pharma in which Royalty Pharma receives 25 percent of our SPINRAZA royalty payments from 2023 through 2027, increasing to 45 percent of royalty payments in 2028, on up to $1.5 billion in annual sales. Royalty Pharma’s royalty interest in SPINRAZA will revert to us after total SPINRAZA royalty payments to Royalty Pharma reach either $475 million or $550 million, depending on the timing and occurrence of the U.S. Food and Drug Administration, or FDA, approval of pelacarsen, which Novartis is developing.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discussion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QALSODY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Biogen exercised its option to license QALSODY, our medicine that received accelerated approval from the FDA in April 2023 and marketing authorization under exceptional circumstances from the European Medicines Agency, or EMA, in May 2024 for the treatment of adult patients with superoxide dismutase 1 amyotrophic lateral sclerosis, or SOD1-ALS. As a result, Biogen is responsible for global development, regulatory and commercialization activities and costs for QALSODY. Biogen is also evaluating QALSODY as a potential treatment for presymptomatic SOD1-ALS patients in the ongoing ATLAS study. From inception through December 31, 2024, we received more than $110 million in total payments under this collaboration, including approximately $3 million from QALSODY royalties and $108 million from R&amp;D revenue. We are receiving tiered royalties ranging from 11 percent to 15 percent on net sales of QALSODY. We completed our performance obligations under this collaboration in 2020.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New Antisense Medicines for the Treatment of SMA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In 2017, we entered into a collaboration agreement with Biogen to identify </w:t>
      </w:r>
      <w:r>
        <w:rPr>
          <w:rFonts w:ascii="Times New Roman;Times;serif" w:hAnsi="Times New Roman;Times;serif"/>
          <w:color w:val="000000"/>
          <w:sz w:val="20"/>
          <w:shd w:fill="FBFBFB" w:val="clear"/>
        </w:rPr>
        <w:t>new antisense medicines for the treatment of SMA</w:t>
      </w:r>
      <w:r>
        <w:rPr>
          <w:rFonts w:ascii="Times New Roman;Times;serif" w:hAnsi="Times New Roman;Times;serif"/>
          <w:color w:val="000000"/>
          <w:sz w:val="20"/>
        </w:rPr>
        <w:t xml:space="preserve">. </w:t>
      </w:r>
      <w:r>
        <w:rPr>
          <w:rFonts w:ascii="Times New Roman;Times;serif" w:hAnsi="Times New Roman;Times;serif"/>
          <w:color w:val="000000"/>
          <w:sz w:val="20"/>
          <w:shd w:fill="FBFBFB" w:val="clear"/>
        </w:rPr>
        <w:t xml:space="preserve">At the commencement of this collaboration, we received a </w:t>
      </w:r>
      <w:r>
        <w:rPr>
          <w:rFonts w:ascii="Times New Roman;Times;serif" w:hAnsi="Times New Roman;Times;serif"/>
          <w:color w:val="000000"/>
          <w:sz w:val="20"/>
        </w:rPr>
        <w:t>$25 million</w:t>
      </w:r>
      <w:r>
        <w:rPr>
          <w:rFonts w:ascii="Times New Roman;Times;serif" w:hAnsi="Times New Roman;Times;serif"/>
          <w:color w:val="000000"/>
          <w:sz w:val="20"/>
          <w:shd w:fill="FBFBFB" w:val="clear"/>
        </w:rPr>
        <w:t xml:space="preserve"> upfront payment from Biogen. In </w:t>
      </w:r>
      <w:r>
        <w:rPr>
          <w:rFonts w:ascii="Times New Roman;Times;serif" w:hAnsi="Times New Roman;Times;serif"/>
          <w:color w:val="000000"/>
          <w:sz w:val="20"/>
        </w:rPr>
        <w:t>2021</w:t>
      </w:r>
      <w:r>
        <w:rPr>
          <w:rFonts w:ascii="Times New Roman;Times;serif" w:hAnsi="Times New Roman;Times;serif"/>
          <w:color w:val="000000"/>
          <w:sz w:val="20"/>
          <w:shd w:fill="FBFBFB" w:val="clear"/>
        </w:rPr>
        <w:t>, Biogen exercised its option to license ION</w:t>
      </w:r>
      <w:r>
        <w:rPr>
          <w:rFonts w:ascii="Times New Roman;Times;serif" w:hAnsi="Times New Roman;Times;serif"/>
          <w:color w:val="000000"/>
          <w:sz w:val="20"/>
        </w:rPr>
        <w:t>306</w:t>
      </w:r>
      <w:r>
        <w:rPr>
          <w:rFonts w:ascii="Times New Roman;Times;serif" w:hAnsi="Times New Roman;Times;serif"/>
          <w:color w:val="000000"/>
          <w:sz w:val="20"/>
          <w:shd w:fill="FBFBFB" w:val="clear"/>
        </w:rPr>
        <w:t xml:space="preserve">, a drug we discovered under this collaboration, for which </w:t>
      </w:r>
      <w:r>
        <w:rPr>
          <w:rFonts w:ascii="Times New Roman;Times;serif" w:hAnsi="Times New Roman;Times;serif"/>
          <w:color w:val="000000"/>
          <w:sz w:val="20"/>
        </w:rPr>
        <w:t xml:space="preserve">we earned a $60 million license fee payment. We recognized this payment as revenue in full because Biogen had full use of the license without any continuing involvement from us. Biogen is solely responsible for the costs and expenses related to the development, manufacturing and potential future commercialization of ION306 following the option exercise. We do not have any remaining performance obligations under this collaboration. </w:t>
      </w:r>
      <w:r>
        <w:rPr>
          <w:rFonts w:ascii="Times New Roman;Times;serif" w:hAnsi="Times New Roman;Times;serif"/>
          <w:color w:val="000000"/>
          <w:sz w:val="20"/>
          <w:shd w:fill="FBFBFB" w:val="clear"/>
        </w:rPr>
        <w:t>We will receive development and regulatory milestone payments from Biogen if new medicines, including ION</w:t>
      </w:r>
      <w:r>
        <w:rPr>
          <w:rFonts w:ascii="Times New Roman;Times;serif" w:hAnsi="Times New Roman;Times;serif"/>
          <w:color w:val="000000"/>
          <w:sz w:val="20"/>
        </w:rPr>
        <w:t>306</w:t>
      </w:r>
      <w:r>
        <w:rPr>
          <w:rFonts w:ascii="Times New Roman;Times;serif" w:hAnsi="Times New Roman;Times;serif"/>
          <w:color w:val="000000"/>
          <w:sz w:val="20"/>
          <w:shd w:fill="FBFBFB" w:val="clear"/>
        </w:rPr>
        <w:t>, advance towards marketing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Over the term of the collaboration, we are eligible to receive up to $555 million if Biogen advances ION306, which is comprised of up to $45 million in development milestone payments, up to $110 million in regulatory milestone payments and up to $400 million in sales milestone payments. In addition, we are eligible to receive tiered royalties </w:t>
      </w:r>
      <w:r>
        <w:rPr>
          <w:rFonts w:ascii="Times New Roman;Times;serif" w:hAnsi="Times New Roman;Times;serif"/>
          <w:color w:val="000000"/>
          <w:sz w:val="20"/>
          <w:shd w:fill="FBFBFB" w:val="clear"/>
        </w:rPr>
        <w:t xml:space="preserve">from the mid-teens to </w:t>
      </w:r>
      <w:r>
        <w:rPr>
          <w:rFonts w:ascii="Times New Roman;Times;serif" w:hAnsi="Times New Roman;Times;serif"/>
          <w:color w:val="000000"/>
          <w:sz w:val="20"/>
        </w:rPr>
        <w:t xml:space="preserve">mid-20 percent range </w:t>
      </w:r>
      <w:r>
        <w:rPr>
          <w:rFonts w:ascii="Times New Roman;Times;serif" w:hAnsi="Times New Roman;Times;serif"/>
          <w:color w:val="000000"/>
          <w:sz w:val="20"/>
          <w:shd w:fill="FBFBFB" w:val="clear"/>
        </w:rPr>
        <w:t>on net sales from any product that Biogen successfully commercializes under this collaboration.</w:t>
      </w:r>
      <w:r>
        <w:rPr>
          <w:rFonts w:ascii="Times New Roman;Times;serif" w:hAnsi="Times New Roman;Times;serif"/>
          <w:color w:val="000000"/>
          <w:sz w:val="20"/>
        </w:rPr>
        <w:t xml:space="preserve"> From inception through December 31, 2024, we received $85 million in payments under this collaboration. We will achieve the next payment of up to $45 million if Biogen initiates a Phase 3 trial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b/>
          <w:i/>
          <w:color w:val="000000"/>
          <w:sz w:val="20"/>
        </w:rPr>
      </w:pPr>
      <w:r>
        <w:rPr>
          <w:rFonts w:ascii="Times New Roman;Times;serif" w:hAnsi="Times New Roman;Times;serif"/>
          <w:b/>
          <w:i/>
          <w:color w:val="000000"/>
          <w:sz w:val="20"/>
        </w:rPr>
        <w:t>Neurology Collaborations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multiple collaborations with Biogen focused on using antisense technology to advance the treatment of neurological disorders, including our 2018 and 2012 neurology collaborations. Under these collaborations, Biogen gained exclusive rights to the use of our antisense technology to develop therapies for certain neurological diseases and the option to license certain medicines resulting from these collaborations. If Biogen exercises its option to license a medicine, it will assume global development, regulatory and commercialization responsibilities and costs for that medicine.</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Under our 2018 neurology collaboration, we are currently advancing multiple programs. For each medicine under this collaboration, we are eligible to receive </w:t>
      </w:r>
      <w:r>
        <w:rPr>
          <w:rFonts w:ascii="Times New Roman;Times;serif" w:hAnsi="Times New Roman;Times;serif"/>
          <w:color w:val="000000"/>
          <w:sz w:val="20"/>
          <w:shd w:fill="FBFBFB" w:val="clear"/>
        </w:rPr>
        <w:t>up to $</w:t>
      </w:r>
      <w:r>
        <w:rPr>
          <w:rFonts w:ascii="Times New Roman;Times;serif" w:hAnsi="Times New Roman;Times;serif"/>
          <w:color w:val="000000"/>
          <w:sz w:val="20"/>
        </w:rPr>
        <w:t>270</w:t>
      </w:r>
      <w:r>
        <w:rPr>
          <w:rFonts w:ascii="Times New Roman;Times;serif" w:hAnsi="Times New Roman;Times;serif"/>
          <w:color w:val="000000"/>
          <w:sz w:val="20"/>
          <w:shd w:fill="FBFBFB" w:val="clear"/>
        </w:rPr>
        <w:t xml:space="preserve"> million, which is comprised of a $</w:t>
      </w:r>
      <w:r>
        <w:rPr>
          <w:rFonts w:ascii="Times New Roman;Times;serif" w:hAnsi="Times New Roman;Times;serif"/>
          <w:color w:val="000000"/>
          <w:sz w:val="20"/>
        </w:rPr>
        <w:t>15</w:t>
      </w:r>
      <w:r>
        <w:rPr>
          <w:rFonts w:ascii="Times New Roman;Times;serif" w:hAnsi="Times New Roman;Times;serif"/>
          <w:color w:val="000000"/>
          <w:sz w:val="20"/>
          <w:shd w:fill="FBFBFB" w:val="clear"/>
        </w:rPr>
        <w:t xml:space="preserve"> million license fee, up to $</w:t>
      </w:r>
      <w:r>
        <w:rPr>
          <w:rFonts w:ascii="Times New Roman;Times;serif" w:hAnsi="Times New Roman;Times;serif"/>
          <w:color w:val="000000"/>
          <w:sz w:val="20"/>
        </w:rPr>
        <w:t>105</w:t>
      </w:r>
      <w:r>
        <w:rPr>
          <w:rFonts w:ascii="Times New Roman;Times;serif" w:hAnsi="Times New Roman;Times;serif"/>
          <w:color w:val="000000"/>
          <w:sz w:val="20"/>
          <w:shd w:fill="FBFBFB" w:val="clear"/>
        </w:rPr>
        <w:t xml:space="preserve"> million in development milestone payments and up to $</w:t>
      </w:r>
      <w:r>
        <w:rPr>
          <w:rFonts w:ascii="Times New Roman;Times;serif" w:hAnsi="Times New Roman;Times;serif"/>
          <w:color w:val="000000"/>
          <w:sz w:val="20"/>
        </w:rPr>
        <w:t>150</w:t>
      </w:r>
      <w:r>
        <w:rPr>
          <w:rFonts w:ascii="Times New Roman;Times;serif" w:hAnsi="Times New Roman;Times;serif"/>
          <w:color w:val="000000"/>
          <w:sz w:val="20"/>
          <w:shd w:fill="FBFBFB" w:val="clear"/>
        </w:rPr>
        <w:t xml:space="preserve"> million in regulatory milestone payments</w:t>
      </w:r>
      <w:r>
        <w:rPr>
          <w:rFonts w:ascii="Times New Roman;Times;serif" w:hAnsi="Times New Roman;Times;serif"/>
          <w:color w:val="000000"/>
          <w:sz w:val="20"/>
        </w:rPr>
        <w:t>. In addition, we are eligible to receive tiered royalties up to the 20 percent range on net sales from any product that Biogen successfully commercializes under this collaboration. From inception through December 31, 2024, we have received nearly $1.1 billion in payments under this collaboration, including payments to purchase our stock. We will achieve the next payment of up to $15 million if Biogen licenses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our 2018 neurology collaboration, we determined our transaction price to be $552 million, comprised of $375 million from the upfront payment and $177 million for the premium paid by Biogen for its purchase of our common stock. We allocated the transaction price to our single performance obligation, which was to perform R&amp;D services for Biogen. From inception through December 31, 2024, we have included $623 million in upfront and milestone payments in the transaction price for our R&amp;D services performance obligation. We recognize revenue for our R&amp;D services performance obligation as we perform services based on our effort to satisfy our performance obligation relative to our total effort expected to satisfy our performance obligation. We currently estimate we will satisfy our performance obligation at the end of the contractual term in June 2028.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our 2012 neurology collaboration, Biogen exercised its option to license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an investigational RNA-targeted medicine for the potential treatment of Alzheimer’s disease, or AD, in 2019. As a result, Biogen is responsible for global development, regulatory and commercialization activities and costs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We are eligible to receive up to $185 million for the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program, which is comprised of a license fee of $45 million, up to $10 million in development milestone payments and up to $130 million in regulatory milestone payments, plus a mark-up on the cost estimate of the Phase 1 and 2 studies. In addition, we are eligible to receive tiered royalties up to the mid-teens on net sales of any medicines resulting from the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program. From inception through December 31, 2024, we have received more than $230 million in payments under this collaboration. We will achieve the next payment of $25 million if Biogen advances 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into Phase 3 development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our 2012 neurology collaboration, we identified two separate performance obligations as our development work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ION582. We completed our R&amp;D services performance obligations for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and ION582 in 2022 and 2024, respectively. From inception through the completion of our performance obligations, we have included $57 million in the transaction price for our IONIS-MAPT</w:t>
      </w:r>
      <w:r>
        <w:rPr>
          <w:rFonts w:ascii="Times New Roman;Times;serif" w:hAnsi="Times New Roman;Times;serif"/>
          <w:color w:val="000000"/>
          <w:position w:val="-2"/>
          <w:sz w:val="16"/>
          <w:sz w:val="20"/>
        </w:rPr>
        <w:t>Rx</w:t>
      </w:r>
      <w:r>
        <w:rPr>
          <w:rFonts w:ascii="Times New Roman;Times;serif" w:hAnsi="Times New Roman;Times;serif"/>
          <w:color w:val="000000"/>
          <w:sz w:val="20"/>
        </w:rPr>
        <w:t xml:space="preserve"> development performance obligation. From inception through the completion of our performance obligations, we have included $68 million in milestone payments in the transaction price for our ION582 development performance obligation. We recognized revenue for our R&amp;D services performance obligations as we performed services based on our effort to satisfy our performance obligations relative to our total effort expected to satisfy our performance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second quarter of 2024, Biogen’s option to license ION582, an investigational antisense medicine for the potential treatment of Angelman syndrome, or AS, expired unexercised. As a result, we recognized $30 million of R&amp;D revenue from previously deferred milestone payments related to the ION582 study because we did not have any remaining performance obligations.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Biogen (in thousands, except percentage amounts):</w:t>
      </w:r>
    </w:p>
    <w:p>
      <w:pPr>
        <w:pStyle w:val="TextBody"/>
        <w:bidi w:val="0"/>
        <w:spacing w:before="0" w:after="0"/>
        <w:jc w:val="left"/>
        <w:rPr/>
      </w:pPr>
      <w:r>
        <w:rPr/>
      </w:r>
    </w:p>
    <w:tbl>
      <w:tblPr>
        <w:tblW w:w="6770" w:type="dxa"/>
        <w:jc w:val="left"/>
        <w:tblInd w:w="0" w:type="dxa"/>
        <w:tblLayout w:type="fixed"/>
        <w:tblCellMar>
          <w:top w:w="0" w:type="dxa"/>
          <w:left w:w="0" w:type="dxa"/>
          <w:bottom w:w="0" w:type="dxa"/>
          <w:right w:w="0" w:type="dxa"/>
        </w:tblCellMar>
      </w:tblPr>
      <w:tblGrid>
        <w:gridCol w:w="3560"/>
        <w:gridCol w:w="60"/>
        <w:gridCol w:w="125"/>
        <w:gridCol w:w="695"/>
        <w:gridCol w:w="185"/>
        <w:gridCol w:w="60"/>
        <w:gridCol w:w="125"/>
        <w:gridCol w:w="695"/>
        <w:gridCol w:w="185"/>
        <w:gridCol w:w="60"/>
        <w:gridCol w:w="125"/>
        <w:gridCol w:w="695"/>
        <w:gridCol w:w="200"/>
      </w:tblGrid>
      <w:tr>
        <w:trPr/>
        <w:tc>
          <w:tcPr>
            <w:tcW w:w="3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5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Revenue from our relationship with Biogen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368,058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350,146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366,696</w:t>
            </w:r>
          </w:p>
        </w:tc>
        <w:tc>
          <w:tcPr>
            <w:tcW w:w="200"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2024 and 2023 included deferred revenue of $211.0 million and $307.4 million, respectively, from our relationship with Biogen.</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GSK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2010, we entered into a collaboration with GSK using our antisense drug discovery platform to discover and develop new medicines against targets for serious and rare diseases, including infectious diseases. Upon initiating the collaboration, we received an upfront payment of $35 million. Under our collaboration, GSK is developing bepirovirsen for the treatment of chronic hepatitis B virus infection, or HBV, infection. In 2019, following positive Phase 2 results, GSK licensed our HBV program. GSK is responsible for all global development, regulatory and commercialization activities and costs for the HBV program.</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nearly $260 million, which is comprised of a $25 million license fee, up to $42.5 million in development milestone payments, up to $120 million in regulatory milestone payments and up to $70 million in sales milestone payments if GSK successfully develops and commercializes bepirovirsen. In addition, we are eligible to receive tiered royalties up to the low-teens on net sales of bepirovirsen. From inception through December 31, 2024, we have received more than $105 million in an upfront payment and payments related to the HBV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completed our R&amp;D services performance obligations in 2015. Therefore, we do not have any remaining performance obligations under our collaboration with GSK. However, we can still earn additional payments and royalties as GSK advances the HBV program. In 2023, we earned a $15 million milestone payment when GSK initiated a Phase 3 program of bepirovirsen. We recognized this milestone payment as R&amp;D revenue in full in 2023 because we did not have any remaining performance obligations related to the milestone payment. We will achieve the next payment of $15 million if the FDA accepts an NDA filing of bepirovirsen for review.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GSK (in thousands, except percentage amounts):</w:t>
      </w:r>
    </w:p>
    <w:p>
      <w:pPr>
        <w:pStyle w:val="TextBody"/>
        <w:bidi w:val="0"/>
        <w:spacing w:before="0" w:after="0"/>
        <w:jc w:val="left"/>
        <w:rPr/>
      </w:pPr>
      <w:r>
        <w:rPr/>
      </w:r>
    </w:p>
    <w:tbl>
      <w:tblPr>
        <w:tblW w:w="5829" w:type="dxa"/>
        <w:jc w:val="left"/>
        <w:tblInd w:w="0" w:type="dxa"/>
        <w:tblLayout w:type="fixed"/>
        <w:tblCellMar>
          <w:top w:w="0" w:type="dxa"/>
          <w:left w:w="0" w:type="dxa"/>
          <w:bottom w:w="0" w:type="dxa"/>
          <w:right w:w="0" w:type="dxa"/>
        </w:tblCellMar>
      </w:tblPr>
      <w:tblGrid>
        <w:gridCol w:w="3335"/>
        <w:gridCol w:w="60"/>
        <w:gridCol w:w="142"/>
        <w:gridCol w:w="298"/>
        <w:gridCol w:w="208"/>
        <w:gridCol w:w="67"/>
        <w:gridCol w:w="140"/>
        <w:gridCol w:w="664"/>
        <w:gridCol w:w="208"/>
        <w:gridCol w:w="67"/>
        <w:gridCol w:w="142"/>
        <w:gridCol w:w="298"/>
        <w:gridCol w:w="200"/>
      </w:tblGrid>
      <w:tr>
        <w:trPr/>
        <w:tc>
          <w:tcPr>
            <w:tcW w:w="33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34"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0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08"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GSK</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bottom"/>
          </w:tcPr>
          <w:p>
            <w:pPr>
              <w:pStyle w:val="TableContents"/>
              <w:bidi w:val="0"/>
              <w:spacing w:before="0" w:after="0"/>
              <w:jc w:val="right"/>
              <w:rPr/>
            </w:pPr>
            <w:r>
              <w:rPr/>
              <w:t>—</w:t>
            </w:r>
          </w:p>
        </w:tc>
        <w:tc>
          <w:tcPr>
            <w:tcW w:w="20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6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15,000</w:t>
            </w:r>
          </w:p>
        </w:tc>
        <w:tc>
          <w:tcPr>
            <w:tcW w:w="208"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298" w:type="dxa"/>
            <w:tcBorders/>
            <w:shd w:fill="CCEEFF" w:val="clear"/>
            <w:vAlign w:val="bottom"/>
          </w:tcPr>
          <w:p>
            <w:pPr>
              <w:pStyle w:val="TableContents"/>
              <w:bidi w:val="0"/>
              <w:spacing w:before="0" w:after="0"/>
              <w:jc w:val="right"/>
              <w:rPr/>
            </w:pPr>
            <w:r>
              <w:rPr/>
              <w:t>—</w:t>
            </w:r>
          </w:p>
        </w:tc>
        <w:tc>
          <w:tcPr>
            <w:tcW w:w="20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208"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GSK at December 31, 2024 and 2023.</w:t>
      </w:r>
    </w:p>
    <w:p>
      <w:pPr>
        <w:pStyle w:val="TextBody"/>
        <w:bidi w:val="0"/>
        <w:spacing w:before="0" w:after="0"/>
        <w:jc w:val="left"/>
        <w:rPr/>
      </w:pPr>
      <w:r>
        <w:rPr/>
      </w:r>
    </w:p>
    <w:p>
      <w:pPr>
        <w:pStyle w:val="TextBody"/>
        <w:bidi w:val="0"/>
        <w:spacing w:before="0" w:after="0"/>
        <w:jc w:val="left"/>
        <w:rPr>
          <w:rFonts w:ascii="Times New Roman;Times;serif" w:hAnsi="Times New Roman;Times;serif"/>
          <w:b/>
          <w:i/>
          <w:color w:val="000000"/>
          <w:sz w:val="20"/>
        </w:rPr>
      </w:pPr>
      <w:r>
        <w:rPr>
          <w:rFonts w:ascii="Times New Roman;Times;serif" w:hAnsi="Times New Roman;Times;serif"/>
          <w:b/>
          <w:i/>
          <w:color w:val="000000"/>
          <w:sz w:val="20"/>
        </w:rPr>
        <w:t>Novartis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Pelacarsen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initiated a collaboration with Novartis to develop and commercialize pelacarsen. Novartis is responsible for conducting and funding development and regulatory activities for pelacarsen, including a global Phase 3 cardiovascular outcomes study that Novartis initiated in 2019.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$900 million, which is comprised of a $75 million upfront payment, a $150 million license fee, a $25 million development milestone payment, up to $290 million in regulatory milestone payments and up to $360 million in sales milestone payments. We are also eligible to receive tiered royalties in the mid-teens to low 20 percent range on net sales of pelacarsen. From inception through December 31, 2024, we have received more than $275 million in payments under this collaboration. We</w:t>
      </w:r>
      <w:r>
        <w:rPr>
          <w:rFonts w:ascii="Times New Roman;Times;serif" w:hAnsi="Times New Roman;Times;serif"/>
          <w:color w:val="000000"/>
          <w:sz w:val="20"/>
          <w:shd w:fill="FBFBFB" w:val="clear"/>
        </w:rPr>
        <w:t xml:space="preserve"> will achieve the next payment of $</w:t>
      </w:r>
      <w:r>
        <w:rPr>
          <w:rFonts w:ascii="Times New Roman;Times;serif" w:hAnsi="Times New Roman;Times;serif"/>
          <w:color w:val="000000"/>
          <w:sz w:val="20"/>
        </w:rPr>
        <w:t>50</w:t>
      </w:r>
      <w:r>
        <w:rPr>
          <w:rFonts w:ascii="Times New Roman;Times;serif" w:hAnsi="Times New Roman;Times;serif"/>
          <w:color w:val="000000"/>
          <w:sz w:val="20"/>
          <w:shd w:fill="FBFBFB" w:val="clear"/>
        </w:rPr>
        <w:t xml:space="preserve"> million if the FDA accepts an NDA filing for pelacarsen.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determined our transaction price to be $108.4 million, comprised of the $75 million from the upfront payment, $28.4 million for the premium paid by Novartis for its purchase of our common stock and $5.0 million for the potential premium Novartis would have paid if they purchased our common stock in the future. We identified four separate performance obligations as the R&amp;D services and API for pelacarsen and olezarsen. We recognized revenue for our R&amp;D services performance obligations as we performed services based on our effort to satisfy our performance obligations relative to our total effort expected to satisfy our performance obligations. We completed our R&amp;D services performance obligations for olezarsen and pelacarsen</w:t>
      </w:r>
      <w:r>
        <w:rPr>
          <w:rFonts w:ascii="Times New Roman;Times;serif" w:hAnsi="Times New Roman;Times;serif"/>
          <w:color w:val="000000"/>
          <w:position w:val="-2"/>
          <w:sz w:val="16"/>
          <w:sz w:val="20"/>
        </w:rPr>
        <w:t> </w:t>
      </w:r>
      <w:r>
        <w:rPr>
          <w:rFonts w:ascii="Times New Roman;Times;serif" w:hAnsi="Times New Roman;Times;serif"/>
          <w:color w:val="000000"/>
          <w:sz w:val="20"/>
        </w:rPr>
        <w:t>in 2019. As such, we recognized all revenue we allocated to the olezarsen and pelacarsen</w:t>
      </w:r>
      <w:r>
        <w:rPr>
          <w:rFonts w:ascii="Times New Roman;Times;serif" w:hAnsi="Times New Roman;Times;serif"/>
          <w:color w:val="000000"/>
          <w:position w:val="-2"/>
          <w:sz w:val="16"/>
          <w:sz w:val="20"/>
        </w:rPr>
        <w:t> </w:t>
      </w:r>
      <w:r>
        <w:rPr>
          <w:rFonts w:ascii="Times New Roman;Times;serif" w:hAnsi="Times New Roman;Times;serif"/>
          <w:color w:val="000000"/>
          <w:sz w:val="20"/>
        </w:rPr>
        <w:t>R&amp;D services as of the end of 2019. From inception through the completion of our performance obligations, we have included $104 million in payments in the transaction price for our R&amp;D services performance obligations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the </w:t>
      </w:r>
      <w:r>
        <w:rPr>
          <w:rFonts w:ascii="Times New Roman;Times;serif" w:hAnsi="Times New Roman;Times;serif"/>
          <w:i/>
          <w:color w:val="000000"/>
          <w:sz w:val="20"/>
        </w:rPr>
        <w:t>Biogen SPINRAZA</w:t>
      </w:r>
      <w:r>
        <w:rPr>
          <w:rFonts w:ascii="Times New Roman;Times;serif" w:hAnsi="Times New Roman;Times;serif"/>
          <w:color w:val="000000"/>
          <w:sz w:val="20"/>
        </w:rPr>
        <w:t xml:space="preserve"> section above, in 2023, we entered into a royalty purchase agreement with Royalty Pharma. Under the agreement, in addition to a minority interest in SPINRAZA royalties, Royalty Pharma will receive 25 percent of any future royalty payments on pelacarsen. Refer to Note 7, </w:t>
      </w:r>
      <w:r>
        <w:rPr>
          <w:rFonts w:ascii="Times New Roman;Times;serif" w:hAnsi="Times New Roman;Times;serif"/>
          <w:i/>
          <w:color w:val="000000"/>
          <w:sz w:val="20"/>
        </w:rPr>
        <w:t>Long-Term Obligations and Commitments</w:t>
      </w:r>
      <w:r>
        <w:rPr>
          <w:rFonts w:ascii="Times New Roman;Times;serif" w:hAnsi="Times New Roman;Times;serif"/>
          <w:color w:val="000000"/>
          <w:sz w:val="20"/>
        </w:rPr>
        <w:t>, for further discussion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New Medicine for the Treatment of Lp(a)-Driven Cardiovascular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we entered into a collaboration and license agreement with Novartis for the discovery, development and commercialization of a novel medicine for patients with Lp(a)-driven cardiovascular disease, or lipoprotein(a)-driven CVD. Novartis is solely responsible for the development, manufacturing and potential commercialization of the next generation Lp(a) therapy.</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$730 million, which is comprised of a $60 million upfront payment, up to $155 million in development milestone payments, up to $105 million in regulatory milestone payments and up to $410 million in sales milestone payments. In addition, we are eligible to receive tiered royalties ranging from 10 percent to 20 percent on net sales. From inception through December 31, 2024, we have received more than $65 million from payments under this collaboration. We will achieve the next payment of $10 million if Novartis advances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Novartis. We recognized revenue for our R&amp;D services performance obligation as we performed services based on our effort to satisfy this performance obligation relative to our total effort expected to satisfy our performance obligation. We completed our performance obligation in the third quarter of 2024. As we achieved milestone payments for our R&amp;D services, we included these amounts in our transaction price for our R&amp;D services performance obligation. From inception through the completion of our performance obligation, we have included $65 million in upfront and milestone payments in the transaction price for our R&amp;D services performance obligation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Novartis (in thousands, except percentage amounts):</w:t>
      </w:r>
    </w:p>
    <w:p>
      <w:pPr>
        <w:pStyle w:val="TextBody"/>
        <w:bidi w:val="0"/>
        <w:spacing w:before="0" w:after="0"/>
        <w:jc w:val="left"/>
        <w:rPr/>
      </w:pPr>
      <w:r>
        <w:rPr/>
      </w:r>
    </w:p>
    <w:tbl>
      <w:tblPr>
        <w:tblW w:w="6804" w:type="dxa"/>
        <w:jc w:val="left"/>
        <w:tblInd w:w="0" w:type="dxa"/>
        <w:tblLayout w:type="fixed"/>
        <w:tblCellMar>
          <w:top w:w="0" w:type="dxa"/>
          <w:left w:w="0" w:type="dxa"/>
          <w:bottom w:w="0" w:type="dxa"/>
          <w:right w:w="0" w:type="dxa"/>
        </w:tblCellMar>
      </w:tblPr>
      <w:tblGrid>
        <w:gridCol w:w="3650"/>
        <w:gridCol w:w="60"/>
        <w:gridCol w:w="125"/>
        <w:gridCol w:w="590"/>
        <w:gridCol w:w="185"/>
        <w:gridCol w:w="60"/>
        <w:gridCol w:w="125"/>
        <w:gridCol w:w="590"/>
        <w:gridCol w:w="185"/>
        <w:gridCol w:w="60"/>
        <w:gridCol w:w="298"/>
        <w:gridCol w:w="801"/>
        <w:gridCol w:w="75"/>
      </w:tblGrid>
      <w:tr>
        <w:trPr/>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019"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Novartis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37,762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30,194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237</w:t>
            </w:r>
          </w:p>
        </w:tc>
        <w:tc>
          <w:tcPr>
            <w:tcW w:w="75"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Less than 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2024 and 2023 included deferred revenue of $4.2 million and $30.0 million, respectively, from our relationship with Novartis.</w:t>
      </w:r>
    </w:p>
    <w:p>
      <w:pPr>
        <w:pStyle w:val="TextBody"/>
        <w:bidi w:val="0"/>
        <w:spacing w:before="0" w:after="0"/>
        <w:jc w:val="left"/>
        <w:rPr/>
      </w:pPr>
      <w:r>
        <w:rPr/>
      </w:r>
    </w:p>
    <w:p>
      <w:pPr>
        <w:pStyle w:val="TextBody"/>
        <w:bidi w:val="0"/>
        <w:spacing w:before="0" w:after="0"/>
        <w:jc w:val="both"/>
        <w:rPr>
          <w:rFonts w:ascii="Times New Roman;Times;serif" w:hAnsi="Times New Roman;Times;serif"/>
          <w:b/>
          <w:i/>
          <w:color w:val="000000"/>
          <w:sz w:val="20"/>
        </w:rPr>
      </w:pPr>
      <w:r>
        <w:rPr>
          <w:rFonts w:ascii="Times New Roman;Times;serif" w:hAnsi="Times New Roman;Times;serif"/>
          <w:b/>
          <w:i/>
          <w:color w:val="000000"/>
          <w:sz w:val="20"/>
        </w:rPr>
        <w:t>Roche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shd w:fill="FBFBFB" w:val="clear"/>
        </w:rPr>
        <w:t>Sefaxersen (IONIS-FB-L</w:t>
      </w:r>
      <w:r>
        <w:rPr>
          <w:rFonts w:ascii="Times New Roman;Times;serif" w:hAnsi="Times New Roman;Times;serif"/>
          <w:i/>
          <w:color w:val="000000"/>
          <w:position w:val="-2"/>
          <w:sz w:val="16"/>
          <w:sz w:val="20"/>
        </w:rPr>
        <w:t>Rx</w:t>
      </w:r>
      <w:r>
        <w:rPr>
          <w:rFonts w:ascii="Times New Roman;Times;serif" w:hAnsi="Times New Roman;Times;serif"/>
          <w:i/>
          <w:color w:val="000000"/>
          <w:sz w:val="20"/>
          <w:shd w:fill="FBFBFB" w:val="clear"/>
        </w:rPr>
        <w:t>) for Complement-Mediated Diseases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 collaboration agreement with Roche to</w:t>
      </w:r>
      <w:r>
        <w:rPr>
          <w:rFonts w:ascii="Times New Roman;Times;serif" w:hAnsi="Times New Roman;Times;serif"/>
          <w:color w:val="000000"/>
          <w:sz w:val="20"/>
          <w:shd w:fill="FBFBFB" w:val="clear"/>
        </w:rPr>
        <w:t xml:space="preserve"> develop sefaxersen (IONIS-FB-L</w:t>
      </w:r>
      <w:r>
        <w:rPr>
          <w:rFonts w:ascii="Times New Roman;Times;serif" w:hAnsi="Times New Roman;Times;serif"/>
          <w:color w:val="000000"/>
          <w:position w:val="-2"/>
          <w:sz w:val="16"/>
          <w:sz w:val="20"/>
        </w:rPr>
        <w:t>Rx</w:t>
      </w:r>
      <w:r>
        <w:rPr>
          <w:rFonts w:ascii="Times New Roman;Times;serif" w:hAnsi="Times New Roman;Times;serif"/>
          <w:color w:val="000000"/>
          <w:sz w:val="20"/>
        </w:rPr>
        <w:t>) for the treatment of complement-mediated diseases, including immunoglobulin A nephropathy, or IgAN, and geographic atrophy, or GA. In April 2023, Roche initiated a Phase 3 study of sefaxersen in patients with IgAN.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After positive data from a Phase 2 clinical study in patients with IgAN, Roche</w:t>
      </w:r>
      <w:r>
        <w:rPr>
          <w:rFonts w:ascii="Times New Roman;Times;serif" w:hAnsi="Times New Roman;Times;serif"/>
          <w:color w:val="000000"/>
          <w:sz w:val="20"/>
          <w:shd w:fill="FBFBFB" w:val="clear"/>
        </w:rPr>
        <w:t xml:space="preserve"> licensed </w:t>
      </w:r>
      <w:r>
        <w:rPr>
          <w:rFonts w:ascii="Times New Roman;Times;serif" w:hAnsi="Times New Roman;Times;serif"/>
          <w:color w:val="000000"/>
          <w:sz w:val="20"/>
        </w:rPr>
        <w:t>sefaxersen</w:t>
      </w:r>
      <w:r>
        <w:rPr>
          <w:rFonts w:ascii="Times New Roman;Times;serif" w:hAnsi="Times New Roman;Times;serif"/>
          <w:color w:val="000000"/>
          <w:sz w:val="20"/>
          <w:shd w:fill="FBFBFB" w:val="clear"/>
        </w:rPr>
        <w:t xml:space="preserve"> in </w:t>
      </w:r>
      <w:r>
        <w:rPr>
          <w:rFonts w:ascii="Times New Roman;Times;serif" w:hAnsi="Times New Roman;Times;serif"/>
          <w:color w:val="000000"/>
          <w:sz w:val="20"/>
        </w:rPr>
        <w:t>2022</w:t>
      </w:r>
      <w:r>
        <w:rPr>
          <w:rFonts w:ascii="Times New Roman;Times;serif" w:hAnsi="Times New Roman;Times;serif"/>
          <w:color w:val="000000"/>
          <w:sz w:val="20"/>
          <w:shd w:fill="FBFBFB" w:val="clear"/>
        </w:rPr>
        <w:t> </w:t>
      </w:r>
      <w:r>
        <w:rPr>
          <w:rFonts w:ascii="Times New Roman;Times;serif" w:hAnsi="Times New Roman;Times;serif"/>
          <w:color w:val="000000"/>
          <w:sz w:val="20"/>
        </w:rPr>
        <w:t>for $35 million. As a result, Roche is responsible for global development, regulatory and commercialization activities, and costs for sefaxersen. In 2022, we amended our sefaxersen collaboration agreement with Roche. The amendment changed future potential milestone payments we could receive under the collaboration. We determined there were no changes that would require adjustments to revenue we previously recognized.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July 2024, Roche discontinued development of sefaxersen for the treatment of GA, following the completion of the Phase 2 study, which showed a favorable safety profile and target engagement, but insufficient efficacy to advance into Phase 3 development.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sefaxersen collaboration for the treatment of IgAN, we are eligible to receive up to $430 million, which is comprised of a $35 million license fee, up to $25 million in development milestone payments, up to $90 million in regulatory milestone payments and up to $280 million in sales milestone payments. In addition, we are also eligible to receive tiered royalties from the high teens to 20 percent on net sales.</w:t>
      </w:r>
      <w:r>
        <w:rPr>
          <w:rFonts w:ascii="Times New Roman;Times;serif" w:hAnsi="Times New Roman;Times;serif"/>
          <w:color w:val="000000"/>
          <w:sz w:val="20"/>
          <w:shd w:fill="FBFBFB" w:val="clear"/>
        </w:rPr>
        <w:t> </w:t>
      </w:r>
      <w:r>
        <w:rPr>
          <w:rFonts w:ascii="Times New Roman;Times;serif" w:hAnsi="Times New Roman;Times;serif"/>
          <w:color w:val="000000"/>
          <w:sz w:val="20"/>
        </w:rPr>
        <w:t xml:space="preserve">From inception through December 31, 2024, we have received more than $140 million in payments under this collaboration. </w:t>
      </w:r>
      <w:r>
        <w:rPr>
          <w:rFonts w:ascii="Times New Roman;Times;serif" w:hAnsi="Times New Roman;Times;serif"/>
          <w:color w:val="000000"/>
          <w:sz w:val="20"/>
          <w:shd w:fill="FBFBFB" w:val="clear"/>
        </w:rPr>
        <w:t>We will achieve the next payment of $</w:t>
      </w:r>
      <w:r>
        <w:rPr>
          <w:rFonts w:ascii="Times New Roman;Times;serif" w:hAnsi="Times New Roman;Times;serif"/>
          <w:color w:val="000000"/>
          <w:sz w:val="20"/>
        </w:rPr>
        <w:t>23.5</w:t>
      </w:r>
      <w:r>
        <w:rPr>
          <w:rFonts w:ascii="Times New Roman;Times;serif" w:hAnsi="Times New Roman;Times;serif"/>
          <w:color w:val="000000"/>
          <w:sz w:val="20"/>
          <w:shd w:fill="FBFBFB" w:val="clear"/>
        </w:rPr>
        <w:t xml:space="preserve"> million if Roche advances sefaxersen for the treatment of IgAN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Roche. We recognized revenue for our R&amp;D services performance obligation as we performed services based on our effort to satisfy this performance obligation relative to our total effort expected to satisfy our performance obligation. We completed our performance obligation in the fourth quarter of 2024. As we achieved milestone payments for our R&amp;D services, we included these amounts in our transaction price for our R&amp;D services performance obligation. From inception through the completion of our performance obligation, we have included $97 million in upfront and milestone payments in the transaction price for our R&amp;D services performance obligation under this collaboration.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Huntington’s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2013, we entered into an agreement with Hoffmann-La Roche Inc and F. Hoffmann-La Roche Ltd, collectively Roche, to develop treatments for Huntington’s disease, or HD, based on our antisense technology. Under the agreement, we discovered and developed tominersen, an investigational medicine targeting HTT protein. We developed tominersen through completion of our Phase 1/2 clinical study in people with early-stage HD. In 2017, upon completion of the Phase 1/2 study, Roche exercised its option to license tominersen. As a result, Roche is responsible for all global development, regulatory and commercialization activities and costs for tominersen.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$395 million, which is comprised of a $30 million upfront payment, a $45 million license fee, up to $70 million in development milestone payments, up to $170 million in regulatory milestone payments and up to $80 million in sales milestone payments as tominersen advances. In addition, we are eligible to receive up to $136.5 million in milestone payments for each additional medicine successfully developed. We are also eligible to receive tiered royalties up to the mid-teens on net sales of any product resulting from this collaboration. From inception through December 31, 2024, we have received more than $150 million in payments under this collaboration. We will achieve the next payment of $17.5 million if Roche advances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the commencement of this collaboration, we identified one performance obligation, which was to perform R&amp;D services for Roche. We determined the transaction price to be the $30 million upfront payment we received and allocated it to our single performance obligation. As we achieved milestone payments for our R&amp;D services, we included these amounts in our transaction price for our R&amp;D services performance obligation. We recognized revenue for our R&amp;D services performance obligation over our period of performance, which ended in 2017.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this collaboration, we have also generated additional payments that we concluded were not part of our R&amp;D services performance obligation. We recognized each of these payments in full in the respective period in which we generated the payment because the payments were distinct and we did not have any performance obligations for the respective payment. In 2021, Roche decided to discontinue dosing in the Phase 3 GENERATION HD1 study of tominersen in patients with manifest HD based on the results of a pre-planned review of data from the Phase 3 study conducted by an unblinded independent data monitoring committee, or iDMC.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Roche initiated the Phase 2, GENERATION HD2, study of tominersen in patients with prodromal or early manifest HD. Roche is focusing on early-stage and younger patients based on the post-hoc analyses from the GENERATION HD1 study that suggested tominersen may benefit these patient groups. We do not have any remaining performance obligations related to tominersen under this collaboration with Roche; however, we can still earn additional payments and royalties as Roche advances tominersen.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RNA-Targeting Medicines for Alzheimer’s Disease and Huntington’s Disease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2023, we entered into an agreement with Roche to develop two undisclosed early-stage programs for RNA-targeting investigational medicines for the treatment of AD and HD. Under the agreement, we are responsible for advancing the two programs through preclinical studies and Roche is responsible for clinical development, manufacturing and commercialization of the medicines if they receive regulatory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the collaboration, we are eligible to receive up to $625 million, which is comprised of a $60 million upfront payment, up to $167 million in development milestone payments and up to $398 million in sales milestone payments. In addition, we are eligible to receive tiered royalties up to the mid-teens on net sales. From inception through December 31, 2024, we have received more than $60 million in payments under this collaboration. We will achieve the next payment of $7.5 million if we advance a medicine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identified two performance obligations under this new agreement, comprised of R&amp;D services for each of the two separate programs. We determined the transaction price to be the $60 million upfront payment we received in the fourth quarter 2023. We allocated the transaction price based on the estimated stand-alone selling price of each performance obligation as follows:</w:t>
      </w:r>
    </w:p>
    <w:p>
      <w:pPr>
        <w:pStyle w:val="TextBody"/>
        <w:bidi w:val="0"/>
        <w:spacing w:before="0" w:after="0"/>
        <w:jc w:val="left"/>
        <w:rPr/>
      </w:pPr>
      <w:r>
        <w:rPr/>
      </w:r>
    </w:p>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$45 million for the R&amp;D services for the investigational medicine for AD; and</w:t>
            </w:r>
          </w:p>
        </w:tc>
      </w:tr>
    </w:tbl>
    <w:tbl>
      <w:tblPr>
        <w:tblW w:w="6198" w:type="dxa"/>
        <w:jc w:val="left"/>
        <w:tblInd w:w="0" w:type="dxa"/>
        <w:tblLayout w:type="fixed"/>
        <w:tblCellMar>
          <w:top w:w="0" w:type="dxa"/>
          <w:left w:w="0" w:type="dxa"/>
          <w:bottom w:w="0" w:type="dxa"/>
          <w:right w:w="0" w:type="dxa"/>
        </w:tblCellMar>
      </w:tblPr>
      <w:tblGrid>
        <w:gridCol w:w="38"/>
        <w:gridCol w:w="17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 million for the R&amp;D services for the investigational medicine for HD.</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recognizing revenue for our R&amp;D services performance obligations as we perform services based on our effort to satisfy our performance obligations relative to our total effort expected to satisfy our performance obligations. We completed our performance obligation for the investigational medicine for AD in June 2024. We currently estimate we will satisfy our performance obligation for the investigational medicine HD at the end of the research term of July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Roche (in thousands, except percentage amounts):</w:t>
      </w:r>
    </w:p>
    <w:p>
      <w:pPr>
        <w:pStyle w:val="TextBody"/>
        <w:bidi w:val="0"/>
        <w:spacing w:before="0" w:after="0"/>
        <w:jc w:val="left"/>
        <w:rPr/>
      </w:pPr>
      <w:r>
        <w:rPr/>
      </w:r>
    </w:p>
    <w:tbl>
      <w:tblPr>
        <w:tblW w:w="6380" w:type="dxa"/>
        <w:jc w:val="left"/>
        <w:tblInd w:w="0" w:type="dxa"/>
        <w:tblLayout w:type="fixed"/>
        <w:tblCellMar>
          <w:top w:w="0" w:type="dxa"/>
          <w:left w:w="0" w:type="dxa"/>
          <w:bottom w:w="0" w:type="dxa"/>
          <w:right w:w="0" w:type="dxa"/>
        </w:tblCellMar>
      </w:tblPr>
      <w:tblGrid>
        <w:gridCol w:w="3485"/>
        <w:gridCol w:w="60"/>
        <w:gridCol w:w="125"/>
        <w:gridCol w:w="590"/>
        <w:gridCol w:w="185"/>
        <w:gridCol w:w="60"/>
        <w:gridCol w:w="125"/>
        <w:gridCol w:w="590"/>
        <w:gridCol w:w="185"/>
        <w:gridCol w:w="60"/>
        <w:gridCol w:w="125"/>
        <w:gridCol w:w="590"/>
        <w:gridCol w:w="200"/>
      </w:tblGrid>
      <w:tr>
        <w:trPr/>
        <w:tc>
          <w:tcPr>
            <w:tcW w:w="3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3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Roche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39,871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48,838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67,202</w:t>
            </w:r>
          </w:p>
        </w:tc>
        <w:tc>
          <w:tcPr>
            <w:tcW w:w="20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2024 and 2023 included deferred revenue of $7.7 million and $36.7 million, respectively, from our relationship with Roche.</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Commercialization Partnerships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Otsuka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December 2023, we entered into an agreement with Otsuka Pharmaceutical Co., Ltd., or Otsuka, to commercialize donidalorsen in Europe. In the second quarter of 2024, we expanded the agreement to include commercialization rights for donidalorsen in the Asia-Pacific region. As a result, we received a $20 million upfront payment from Otsuka. We are responsible for the ongoing development of donidalorsen. We retained the rights to commercialize donidalorsen in the U.S. and in the rest of the world, assuming regulatory approval.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Over the term of this collaboration, we are eligible to receive up to $290 million, which is comprised of $85 million in upfront payments, up to $65 million in regulatory milestone payments and up to $140 million in sales milestone payments. In addition, we are eligible to receive tiered royalties up to 30 percent on net sales. In the fourth quarter of 2024, we earned a $15 million milestone payment from Otsuka when the EMA accepted our Marketing Authorization Application, or MAA, filing for donidalorsen in the European Union, or EU. We will achieve the next payment of $15 million if the European Commission approves donidalorsen under this collaboration.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identified two performance obligations under this agreement, comprised of our license of donidalorsen to Otsuka and R&amp;D services for donidalorsen. We determined the transaction price to be $85 million, comprised of the following:</w:t>
      </w:r>
    </w:p>
    <w:p>
      <w:pPr>
        <w:pStyle w:val="TextBody"/>
        <w:bidi w:val="0"/>
        <w:spacing w:before="0" w:after="0"/>
        <w:jc w:val="left"/>
        <w:rPr/>
      </w:pPr>
      <w:r>
        <w:rPr/>
      </w:r>
    </w:p>
    <w:tbl>
      <w:tblPr>
        <w:tblW w:w="5403" w:type="dxa"/>
        <w:jc w:val="left"/>
        <w:tblInd w:w="0" w:type="dxa"/>
        <w:tblLayout w:type="fixed"/>
        <w:tblCellMar>
          <w:top w:w="0" w:type="dxa"/>
          <w:left w:w="0" w:type="dxa"/>
          <w:bottom w:w="0" w:type="dxa"/>
          <w:right w:w="0" w:type="dxa"/>
        </w:tblCellMar>
      </w:tblPr>
      <w:tblGrid>
        <w:gridCol w:w="38"/>
        <w:gridCol w:w="17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$65 million from the upfront payment we received in 2023; and</w:t>
            </w:r>
          </w:p>
        </w:tc>
      </w:tr>
    </w:tbl>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 million from the upfront payment we received in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allocated the transaction price based on the estimated stand-alone selling price of each performance obligation as follows:</w:t>
      </w:r>
    </w:p>
    <w:p>
      <w:pPr>
        <w:pStyle w:val="TextBody"/>
        <w:bidi w:val="0"/>
        <w:spacing w:before="0" w:after="0"/>
        <w:jc w:val="left"/>
        <w:rPr/>
      </w:pPr>
      <w:r>
        <w:rPr/>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$73.5 million for the license of donidalorsen; and</w:t>
            </w:r>
          </w:p>
        </w:tc>
      </w:tr>
    </w:tbl>
    <w:tbl>
      <w:tblPr>
        <w:tblW w:w="4503" w:type="dxa"/>
        <w:jc w:val="left"/>
        <w:tblInd w:w="0" w:type="dxa"/>
        <w:tblLayout w:type="fixed"/>
        <w:tblCellMar>
          <w:top w:w="0" w:type="dxa"/>
          <w:left w:w="0" w:type="dxa"/>
          <w:bottom w:w="0" w:type="dxa"/>
          <w:right w:w="0" w:type="dxa"/>
        </w:tblCellMar>
      </w:tblPr>
      <w:tblGrid>
        <w:gridCol w:w="38"/>
        <w:gridCol w:w="17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$11.5 million for the R&amp;D services for donidalorsen.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recognizing revenue for our R&amp;D services performance obligation as we perform services based on our effort to satisfy our performance obligation relative to our total effort expected to satisfy our performance obligation. We currently estimate we will satisfy our performance obligations in March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November 2024, we entered into an agreement with Otsuka to commercialize ulefnersen worldwide. We are responsible for the ongoing development of ulefnersen.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inception through December 31, 2024, we have received more than $95 million in payments under these collaborations.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 ended December 31, 2024, we earned the following revenue from our relationship with Otsuka (in thousands, except percentage amount):</w:t>
      </w:r>
    </w:p>
    <w:p>
      <w:pPr>
        <w:pStyle w:val="TextBody"/>
        <w:bidi w:val="0"/>
        <w:spacing w:before="0" w:after="0"/>
        <w:jc w:val="left"/>
        <w:rPr/>
      </w:pPr>
      <w:r>
        <w:rPr/>
      </w:r>
    </w:p>
    <w:tbl>
      <w:tblPr>
        <w:tblW w:w="6012" w:type="dxa"/>
        <w:jc w:val="left"/>
        <w:tblInd w:w="0" w:type="dxa"/>
        <w:tblLayout w:type="fixed"/>
        <w:tblCellMar>
          <w:top w:w="0" w:type="dxa"/>
          <w:left w:w="0" w:type="dxa"/>
          <w:bottom w:w="0" w:type="dxa"/>
          <w:right w:w="0" w:type="dxa"/>
        </w:tblCellMar>
      </w:tblPr>
      <w:tblGrid>
        <w:gridCol w:w="3530"/>
        <w:gridCol w:w="60"/>
        <w:gridCol w:w="166"/>
        <w:gridCol w:w="783"/>
        <w:gridCol w:w="245"/>
        <w:gridCol w:w="79"/>
        <w:gridCol w:w="166"/>
        <w:gridCol w:w="783"/>
        <w:gridCol w:w="200"/>
      </w:tblGrid>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45"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0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Otsuka</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46,856</w:t>
            </w:r>
          </w:p>
        </w:tc>
        <w:tc>
          <w:tcPr>
            <w:tcW w:w="245"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56,480</w:t>
            </w:r>
          </w:p>
        </w:tc>
        <w:tc>
          <w:tcPr>
            <w:tcW w:w="20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consolidated balance sheets at December 31, 2024 and 2023 included deferred revenue of $6.7 million and $8.5 million, respectively, from our relationship with Otsuka.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PTC Therapeutics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2018, we entered into an exclusive license agreement with PTC Therapeutics to commercialize TEGSEDI and WAYLIVRA in Latin America and certain Caribbean countries. Under the license agreement, we are eligible to receive royalties from PTC in the mid-20 percent range on net sales for each medicine. In December 2021 and September 2023, we started receiving royalties from PTC for TEGSEDI and WAYLIVRA sales,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Swedish Orphan Biovitrum AB (Sobi)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began commercializing TEGSEDI and WAYLIVRA in Europe and TEGSEDI in North America through distribution agreements with Sobi. Under our distribution agreements, Sobi is responsible for commercializing TEGSEDI and WAYLIVRA in Europe and TEGSEDI in North America, respectively. We are responsible for supplying finished goods inventory to Sobi and Sobi is responsible for selling each medicine to the end customer. Under our agreements with Sobi, Sobi does not generally have a right of return. We recognize as revenue the price Sobi pays us for the inventory when we deliver the finished goods inventory to Sobi. In addition, we earn a distribution fee on net sales from Sobi for each medicine.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October 2023, our distribution agreement for TEGSEDI in North America was terminated and Sobi began transitioning responsibilities to us. Following the transition, we discontinued TEGSEDI in North America in 2024. During the years ended December 31, 2024, 2023 and 2022, we earned nominal revenue from our distribution agreement with Sobi for TEGSEDI in North America.</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Technology Enhancement Collaborations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Bicycle Therapeutics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2020, we entered into a collaboration agreement with Bicycle and obtained an option to license its peptide technology that we expect can expand our LICA platform to target both skeletal and cardiac muscle, and potentially deliver medicines across the blood brain barrier. In 2021, we paid $42 million when we exercised our option to license Bicycle’s technology, which included an equity investment in Bicycle. As part of our stock purchase, we entered into a lockup agreement with Bicycle that restricted our ability to trade our Bicycle shares for one year. In 2021, we recorded a $7.2 million equity investment for the shares we received in Bicycle. We recognized the remaining $34.8 million as R&amp;D expense in 2021. We will pay Bicycle milestone payments and royalties that are contingent on the achievement of certain development, regulatory and sales events.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Metagenomi</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collaboration and license agreement with Metagenomi to research, develop and commercialize investigational medicines for up to four initial genetic targets, and, upon the achievement of certain development milestones, four additional genetic targets using gene editing technologies. As a result, we paid $80 million to license Metagenomi’s technologies and will pay Metagenomi certain fees for the selection of genetic targets. We recorded the $80 million payment as R&amp;D expense in 2022 upon receiving a license from Metagenomi for intellectual property that is in research with no current alternate use. In addition, we will pay Metagenomi milestone payments and royalties that are contingent on the achievement of certain development, regulatory and sales events. We will also reimburse Metagenomi for certain of its costs in conducting its research and drug discovery activities under the collaboration.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Alnylam Pharmaceuticals,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terms of our agreement with Alnylam, we co-exclusively (with ourselves) licensed to Alnylam our patent estate relating to antisense motifs and mechanisms and oligonucleotide chemistry for double-stranded RNAi therapeutics, with Alnylam having the exclusive right to grant platform sublicenses for double-stranded RNAi. In exchange for such rights, we are eligible to earn a technology access fee, participate in fees from Alnylam’s partnering programs and earn future milestone and royalty payments from Alnylam. We retained exclusive rights to our patents for single-stranded antisense therapeutics and for a limited number of double-stranded RNAi therapeutic targets and all rights to single-stranded RNAi, or ssRNAi, therapeutics. In turn, Alnylam nonexclusively licensed to us its patent estate relating to antisense motifs and mechanisms and oligonucleotide chemistry to research, develop and commercialize single-stranded antisense therapeutics, ssRNAi therapeutics, and to research double-stranded RNAi compounds. We also received a license to develop and commercialize double-stranded RNAi therapeutics targeting a limited number of therapeutic targets on a nonexclusive basis. Additionally, in 2015, we and Alnylam entered into an alliance in which we cross-licensed intellectual property. Under this alliance, we and Alnylam each obtained exclusive license rights to four therapeutic programs. Alnylam granted us an exclusive, royalty-bearing license to its chemistry, RNA targeting mechanism and target-specific intellectual property for oligonucleotides against four targets, including FXI and Apo(a) and two other targets. In exchange, we granted Alnylam an exclusive, royalty-bearing license to our chemistry, RNA targeting mechanism and target-specific intellectual property for oligonucleotides against four other targets. Alnylam also granted us a royalty-bearing, non-exclusive license to new platform technology arising from May 2014 through April 2019 for single-stranded antisense therapeutics. In turn, we granted Alnylam a royalty-bearing, non-exclusive license to new platform technology arising from May 2014 through April 2019 for double-stranded RNAi therapeutics.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earned the following revenue from our relationship with Alnylam (in thousands, except percentage amounts):</w:t>
      </w:r>
    </w:p>
    <w:p>
      <w:pPr>
        <w:pStyle w:val="TextBody"/>
        <w:bidi w:val="0"/>
        <w:spacing w:before="0" w:after="0"/>
        <w:jc w:val="left"/>
        <w:rPr/>
      </w:pPr>
      <w:r>
        <w:rPr/>
      </w:r>
    </w:p>
    <w:tbl>
      <w:tblPr>
        <w:tblW w:w="6455" w:type="dxa"/>
        <w:jc w:val="left"/>
        <w:tblInd w:w="0" w:type="dxa"/>
        <w:tblLayout w:type="fixed"/>
        <w:tblCellMar>
          <w:top w:w="0" w:type="dxa"/>
          <w:left w:w="0" w:type="dxa"/>
          <w:bottom w:w="0" w:type="dxa"/>
          <w:right w:w="0" w:type="dxa"/>
        </w:tblCellMar>
      </w:tblPr>
      <w:tblGrid>
        <w:gridCol w:w="3665"/>
        <w:gridCol w:w="60"/>
        <w:gridCol w:w="125"/>
        <w:gridCol w:w="485"/>
        <w:gridCol w:w="185"/>
        <w:gridCol w:w="60"/>
        <w:gridCol w:w="125"/>
        <w:gridCol w:w="590"/>
        <w:gridCol w:w="185"/>
        <w:gridCol w:w="60"/>
        <w:gridCol w:w="125"/>
        <w:gridCol w:w="590"/>
        <w:gridCol w:w="200"/>
      </w:tblGrid>
      <w:tr>
        <w:trPr/>
        <w:tc>
          <w:tcPr>
            <w:tcW w:w="36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3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366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 from our relationship with Alnylam</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8,110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28,426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21,389</w:t>
            </w:r>
          </w:p>
        </w:tc>
        <w:tc>
          <w:tcPr>
            <w:tcW w:w="200" w:type="dxa"/>
            <w:tcBorders/>
            <w:shd w:fill="CCEEFF" w:val="clear"/>
            <w:vAlign w:val="bottom"/>
          </w:tcPr>
          <w:p>
            <w:pPr>
              <w:pStyle w:val="TableContents"/>
              <w:bidi w:val="0"/>
              <w:spacing w:before="0" w:after="283"/>
              <w:jc w:val="left"/>
              <w:rPr/>
            </w:pPr>
            <w:r>
              <w:rPr/>
              <w:t> </w:t>
            </w:r>
          </w:p>
        </w:tc>
      </w:tr>
      <w:tr>
        <w:trPr/>
        <w:tc>
          <w:tcPr>
            <w:tcW w:w="366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Percentage of total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did not have any deferred revenue from our relationship with Alnylam at December 31, 2024 and 2023.</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 Investments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contract maturity of the available-for-sale securities we held as of December 31, 2024:</w:t>
      </w:r>
    </w:p>
    <w:p>
      <w:pPr>
        <w:pStyle w:val="TextBody"/>
        <w:bidi w:val="0"/>
        <w:spacing w:before="0" w:after="0"/>
        <w:jc w:val="left"/>
        <w:rPr/>
      </w:pPr>
      <w:r>
        <w:rPr/>
      </w:r>
    </w:p>
    <w:tbl>
      <w:tblPr>
        <w:tblW w:w="4545" w:type="dxa"/>
        <w:jc w:val="left"/>
        <w:tblInd w:w="0" w:type="dxa"/>
        <w:tblLayout w:type="fixed"/>
        <w:tblCellMar>
          <w:top w:w="0" w:type="dxa"/>
          <w:left w:w="0" w:type="dxa"/>
          <w:bottom w:w="0" w:type="dxa"/>
          <w:right w:w="0" w:type="dxa"/>
        </w:tblCellMar>
      </w:tblPr>
      <w:tblGrid>
        <w:gridCol w:w="3890"/>
        <w:gridCol w:w="60"/>
        <w:gridCol w:w="60"/>
        <w:gridCol w:w="335"/>
        <w:gridCol w:w="200"/>
      </w:tblGrid>
      <w:tr>
        <w:trPr/>
        <w:tc>
          <w:tcPr>
            <w:tcW w:w="389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One year or less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After one year but within two years</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33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20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After two years but within three and a half years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bottom"/>
          </w:tcPr>
          <w:p>
            <w:pPr>
              <w:pStyle w:val="TableContents"/>
              <w:bidi w:val="0"/>
              <w:spacing w:before="0" w:after="283"/>
              <w:jc w:val="left"/>
              <w:rPr/>
            </w:pPr>
            <w:r>
              <w:rPr/>
              <w:t> </w:t>
            </w:r>
          </w:p>
        </w:tc>
        <w:tc>
          <w:tcPr>
            <w:tcW w:w="60" w:type="dxa"/>
            <w:tcBorders>
              <w:bottom w:val="double" w:sz="8" w:space="0" w:color="000000"/>
            </w:tcBorders>
            <w:shd w:fill="FFFFFF" w:val="clear"/>
            <w:tcMar>
              <w:bottom w:w="28" w:type="dxa"/>
            </w:tcMar>
            <w:vAlign w:val="bottom"/>
          </w:tcPr>
          <w:p>
            <w:pPr>
              <w:pStyle w:val="TableContents"/>
              <w:bidi w:val="0"/>
              <w:spacing w:before="0" w:after="283"/>
              <w:jc w:val="left"/>
              <w:rPr/>
            </w:pPr>
            <w:r>
              <w:rPr/>
              <w:t> </w:t>
            </w:r>
          </w:p>
        </w:tc>
        <w:tc>
          <w:tcPr>
            <w:tcW w:w="33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20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illustrated above, at December 31, 2024, 93 percent of our available-for-sale securities had a maturity of less than two years.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All of our available-for-sale securities are available to us for use in our current operations. As a result, we categorize all of these securities as current assets even though the stated maturity of some individual securities may be one year or more beyond the balance sheet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invest in debt securities with strong credit ratings and an investment grade rating at or above A-1, P-1 or F-1 by Standard &amp; Poor’s, Moody’s or Fitch,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2024, we had an ownership interest of less than 20 percent in seven private companies and three public companies with which we conduct business.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F-29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investments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60"/>
        <w:gridCol w:w="60"/>
        <w:gridCol w:w="125"/>
        <w:gridCol w:w="845"/>
        <w:gridCol w:w="60"/>
        <w:gridCol w:w="60"/>
        <w:gridCol w:w="125"/>
        <w:gridCol w:w="590"/>
        <w:gridCol w:w="60"/>
        <w:gridCol w:w="60"/>
        <w:gridCol w:w="125"/>
        <w:gridCol w:w="650"/>
        <w:gridCol w:w="80"/>
        <w:gridCol w:w="60"/>
        <w:gridCol w:w="125"/>
        <w:gridCol w:w="845"/>
        <w:gridCol w:w="75"/>
      </w:tblGrid>
      <w:tr>
        <w:trPr/>
        <w:tc>
          <w:tcPr>
            <w:tcW w:w="6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c>
          <w:tcPr>
            <w:tcW w:w="75" w:type="dxa"/>
            <w:tcBorders/>
            <w:vAlign w:val="bottom"/>
          </w:tcPr>
          <w:p>
            <w:pPr>
              <w:pStyle w:val="TableContents"/>
              <w:bidi w:val="0"/>
              <w:spacing w:before="0" w:after="283"/>
              <w:jc w:val="left"/>
              <w:rPr/>
            </w:pPr>
            <w:r>
              <w:rPr/>
              <w:t> </w:t>
            </w:r>
          </w:p>
        </w:tc>
      </w:tr>
      <w:tr>
        <w:trPr/>
        <w:tc>
          <w:tcPr>
            <w:tcW w:w="6260"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December 31, 2024</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bottom"/>
          </w:tcPr>
          <w:p>
            <w:pPr>
              <w:pStyle w:val="TableContents"/>
              <w:bidi w:val="0"/>
              <w:spacing w:before="0" w:after="283"/>
              <w:jc w:val="left"/>
              <w:rPr/>
            </w:pPr>
            <w:r>
              <w:rPr/>
              <w:t> </w:t>
            </w:r>
          </w:p>
        </w:tc>
      </w:tr>
      <w:tr>
        <w:trPr/>
        <w:tc>
          <w:tcPr>
            <w:tcW w:w="62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Available-for-sale securities: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593,810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594,057</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143,647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143,895</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657,285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657,990</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7,516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pPr>
            <w:r>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7,524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one year or less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1,402,258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1,403,466</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439,561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(2,275</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438,009</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65,103</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149,086</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(476</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148,734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municipal debt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more than one year</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654,600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984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(3,042</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652,542</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firstLine="540"/>
              <w:jc w:val="left"/>
              <w:rPr>
                <w:rFonts w:ascii="Times New Roman;Times;serif" w:hAnsi="Times New Roman;Times;serif"/>
                <w:sz w:val="20"/>
              </w:rPr>
            </w:pPr>
            <w:r>
              <w:rPr>
                <w:rFonts w:ascii="Times New Roman;Times;serif" w:hAnsi="Times New Roman;Times;serif"/>
                <w:sz w:val="20"/>
              </w:rPr>
              <w:t>Total available-for-sale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2,056,858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(3,441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2,056,008</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Publicly traded equity securities included in other current assets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(6,660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5,263</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Privately held equity securities included in deposits and other assets (3)</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(7,093</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41,023</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(13,753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46,286</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and 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2,091,870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27,618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(17,194</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2,102,294</w:t>
            </w:r>
          </w:p>
        </w:tc>
        <w:tc>
          <w:tcPr>
            <w:tcW w:w="75" w:type="dxa"/>
            <w:tcBorders/>
            <w:shd w:fill="FFFF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60"/>
        <w:gridCol w:w="60"/>
        <w:gridCol w:w="125"/>
        <w:gridCol w:w="845"/>
        <w:gridCol w:w="60"/>
        <w:gridCol w:w="60"/>
        <w:gridCol w:w="125"/>
        <w:gridCol w:w="590"/>
        <w:gridCol w:w="60"/>
        <w:gridCol w:w="60"/>
        <w:gridCol w:w="125"/>
        <w:gridCol w:w="650"/>
        <w:gridCol w:w="80"/>
        <w:gridCol w:w="60"/>
        <w:gridCol w:w="125"/>
        <w:gridCol w:w="845"/>
        <w:gridCol w:w="75"/>
      </w:tblGrid>
      <w:tr>
        <w:trPr/>
        <w:tc>
          <w:tcPr>
            <w:tcW w:w="6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Amortized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tc>
        <w:tc>
          <w:tcPr>
            <w:tcW w:w="75" w:type="dxa"/>
            <w:tcBorders/>
            <w:vAlign w:val="bottom"/>
          </w:tcPr>
          <w:p>
            <w:pPr>
              <w:pStyle w:val="TableContents"/>
              <w:bidi w:val="0"/>
              <w:spacing w:before="0" w:after="283"/>
              <w:jc w:val="left"/>
              <w:rPr/>
            </w:pPr>
            <w:r>
              <w:rPr/>
              <w:t> </w:t>
            </w:r>
          </w:p>
        </w:tc>
      </w:tr>
      <w:tr>
        <w:trPr/>
        <w:tc>
          <w:tcPr>
            <w:tcW w:w="6260" w:type="dxa"/>
            <w:tcBorders>
              <w:bottom w:val="single" w:sz="12" w:space="0" w:color="000000"/>
            </w:tcBorders>
            <w:tcMar>
              <w:bottom w:w="28"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vAlign w:val="bottom"/>
          </w:tcPr>
          <w:p>
            <w:pPr>
              <w:pStyle w:val="TableContents"/>
              <w:bidi w:val="0"/>
              <w:spacing w:before="0" w:after="283"/>
              <w:jc w:val="left"/>
              <w:rPr/>
            </w:pPr>
            <w:r>
              <w:rPr/>
              <w:t> </w:t>
            </w:r>
          </w:p>
        </w:tc>
      </w:tr>
      <w:tr>
        <w:trPr/>
        <w:tc>
          <w:tcPr>
            <w:tcW w:w="6260"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Available-for-sale securities: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559,967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(2,625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557,499</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224,711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(611</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224,164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512,047</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17,757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17,686</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one year or less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1,316,219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(5,238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1,311,396</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243,151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1,270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(692</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243,729</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110,664</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294,873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295,632</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3,469</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securities with a maturity of more than one year</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651,628</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3,063</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(1,197</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653,494</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1,967,847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1,964,890</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59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650" w:type="dxa"/>
            <w:tcBorders/>
            <w:shd w:fill="FFFFFF" w:val="clear"/>
            <w:vAlign w:val="bottom"/>
          </w:tcPr>
          <w:p>
            <w:pPr>
              <w:pStyle w:val="TableContents"/>
              <w:bidi w:val="0"/>
              <w:spacing w:before="0" w:after="283"/>
              <w:jc w:val="righ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shd w:fill="FFFFFF" w:val="clear"/>
            <w:vAlign w:val="bottom"/>
          </w:tcPr>
          <w:p>
            <w:pPr>
              <w:pStyle w:val="TableContents"/>
              <w:bidi w:val="0"/>
              <w:spacing w:before="0" w:after="283"/>
              <w:jc w:val="left"/>
              <w:rPr/>
            </w:pPr>
            <w:r>
              <w:rPr/>
              <w:t> </w:t>
            </w:r>
          </w:p>
        </w:tc>
        <w:tc>
          <w:tcPr>
            <w:tcW w:w="845" w:type="dxa"/>
            <w:tcBorders/>
            <w:shd w:fill="FFFFFF" w:val="clear"/>
            <w:vAlign w:val="bottom"/>
          </w:tcPr>
          <w:p>
            <w:pPr>
              <w:pStyle w:val="TableContents"/>
              <w:bidi w:val="0"/>
              <w:spacing w:before="0" w:after="283"/>
              <w:jc w:val="right"/>
              <w:rPr/>
            </w:pPr>
            <w:r>
              <w:rPr/>
              <w:t> </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Publicly traded equity securities included in other current assets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(5,832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Privately held equity securities included in deposits and other assets (3)</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23,115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(5,125</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42,991</w:t>
            </w:r>
          </w:p>
        </w:tc>
        <w:tc>
          <w:tcPr>
            <w:tcW w:w="75" w:type="dxa"/>
            <w:tcBorders/>
            <w:shd w:fill="FFFFFF" w:val="clear"/>
            <w:vAlign w:val="bottom"/>
          </w:tcPr>
          <w:p>
            <w:pPr>
              <w:pStyle w:val="TableContents"/>
              <w:bidi w:val="0"/>
              <w:spacing w:before="0" w:after="283"/>
              <w:jc w:val="left"/>
              <w:rPr/>
            </w:pPr>
            <w:r>
              <w:rPr/>
              <w:t> </w:t>
            </w:r>
          </w:p>
        </w:tc>
      </w:tr>
      <w:tr>
        <w:trPr/>
        <w:tc>
          <w:tcPr>
            <w:tcW w:w="6260" w:type="dxa"/>
            <w:tcBorders/>
            <w:shd w:fill="CCEEFF" w:val="clear"/>
            <w:vAlign w:val="bottom"/>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equity securities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(10,957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49,292</w:t>
            </w:r>
          </w:p>
        </w:tc>
        <w:tc>
          <w:tcPr>
            <w:tcW w:w="75" w:type="dxa"/>
            <w:tcBorders/>
            <w:shd w:fill="CCEEFF" w:val="clear"/>
            <w:vAlign w:val="bottom"/>
          </w:tcPr>
          <w:p>
            <w:pPr>
              <w:pStyle w:val="TableContents"/>
              <w:bidi w:val="0"/>
              <w:spacing w:before="0" w:after="283"/>
              <w:jc w:val="left"/>
              <w:rPr/>
            </w:pPr>
            <w:r>
              <w:rPr/>
              <w:t> </w:t>
            </w:r>
          </w:p>
        </w:tc>
      </w:tr>
      <w:tr>
        <w:trPr/>
        <w:tc>
          <w:tcPr>
            <w:tcW w:w="6260" w:type="dxa"/>
            <w:tcBorders/>
            <w:shd w:fill="FFFFFF" w:val="clear"/>
            <w:vAlign w:val="bottom"/>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available-for-sale and equity securities</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2,002,859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28,715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(17,392</w:t>
            </w:r>
          </w:p>
        </w:tc>
        <w:tc>
          <w:tcPr>
            <w:tcW w:w="80" w:type="dxa"/>
            <w:tcBorders/>
            <w:shd w:fill="FFFF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bottom"/>
          </w:tcPr>
          <w:p>
            <w:pPr>
              <w:pStyle w:val="TableContents"/>
              <w:bidi w:val="0"/>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FFFF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2,014,182</w:t>
            </w:r>
          </w:p>
        </w:tc>
        <w:tc>
          <w:tcPr>
            <w:tcW w:w="75" w:type="dxa"/>
            <w:tcBorders/>
            <w:shd w:fill="FFFF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7300" w:type="dxa"/>
        <w:jc w:val="left"/>
        <w:tblInd w:w="0" w:type="dxa"/>
        <w:tblLayout w:type="fixed"/>
        <w:tblCellMar>
          <w:top w:w="0" w:type="dxa"/>
          <w:left w:w="0" w:type="dxa"/>
          <w:bottom w:w="0" w:type="dxa"/>
          <w:right w:w="0" w:type="dxa"/>
        </w:tblCellMar>
      </w:tblPr>
      <w:tblGrid>
        <w:gridCol w:w="260"/>
        <w:gridCol w:w="704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0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Includes investments classified as cash equivalents in our consolidated balance sheets.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publicly traded equity securities are included in other current assets. We recognize publicly traded equity securities at fair value. In the year ended December 31, 2024, we recorded a $1.0 million net unrealized loss in our consolidated statement of operations related to changes in the fair value of our investments in publicly traded companies.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privately held equity securities are included in deposits and other assets. We recognize our privately held equity securities at cost minus impairments, plus or minus changes resulting from observable price changes in orderly transactions for the identical or similar investment of the same issuer, which are Level 3 inputs. In the year ended December 31, 2024, we recorded a $2.0 million net unrealized loss in our consolidated statements of operations related to observable price changes of our investments in privately held companies.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investments we considered to be temporarily impaired at December 31, 2024 (in thousands, except for number of investments):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621"/>
        <w:gridCol w:w="60"/>
        <w:gridCol w:w="155"/>
        <w:gridCol w:w="870"/>
        <w:gridCol w:w="60"/>
        <w:gridCol w:w="60"/>
        <w:gridCol w:w="161"/>
        <w:gridCol w:w="768"/>
        <w:gridCol w:w="65"/>
        <w:gridCol w:w="65"/>
        <w:gridCol w:w="177"/>
        <w:gridCol w:w="773"/>
        <w:gridCol w:w="80"/>
        <w:gridCol w:w="60"/>
        <w:gridCol w:w="191"/>
        <w:gridCol w:w="750"/>
        <w:gridCol w:w="69"/>
        <w:gridCol w:w="69"/>
        <w:gridCol w:w="228"/>
        <w:gridCol w:w="722"/>
        <w:gridCol w:w="80"/>
        <w:gridCol w:w="60"/>
        <w:gridCol w:w="135"/>
        <w:gridCol w:w="757"/>
        <w:gridCol w:w="60"/>
        <w:gridCol w:w="60"/>
        <w:gridCol w:w="177"/>
        <w:gridCol w:w="773"/>
        <w:gridCol w:w="99"/>
      </w:tblGrid>
      <w:tr>
        <w:trPr/>
        <w:tc>
          <w:tcPr>
            <w:tcW w:w="26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9"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Less than 12 Months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Temporary Impairment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More than 12 Months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Temporary Impairment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2"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Total Temporary</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Impairment</w:t>
            </w:r>
          </w:p>
        </w:tc>
        <w:tc>
          <w:tcPr>
            <w:tcW w:w="99" w:type="dxa"/>
            <w:tcBorders/>
            <w:vAlign w:val="bottom"/>
          </w:tcPr>
          <w:p>
            <w:pPr>
              <w:pStyle w:val="TableContents"/>
              <w:bidi w:val="0"/>
              <w:spacing w:before="0" w:after="283"/>
              <w:jc w:val="left"/>
              <w:rPr/>
            </w:pPr>
            <w:r>
              <w:rPr/>
              <w:t> </w:t>
            </w:r>
          </w:p>
        </w:tc>
      </w:tr>
      <w:tr>
        <w:trPr/>
        <w:tc>
          <w:tcPr>
            <w:tcW w:w="26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 of</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1"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2"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Estimated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Unrealized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Losses</w:t>
            </w:r>
          </w:p>
        </w:tc>
        <w:tc>
          <w:tcPr>
            <w:tcW w:w="99" w:type="dxa"/>
            <w:tcBorders/>
            <w:vAlign w:val="bottom"/>
          </w:tcPr>
          <w:p>
            <w:pPr>
              <w:pStyle w:val="TableContents"/>
              <w:bidi w:val="0"/>
              <w:spacing w:before="0" w:after="283"/>
              <w:jc w:val="left"/>
              <w:rPr/>
            </w:pPr>
            <w:r>
              <w:rPr/>
              <w:t> </w:t>
            </w:r>
          </w:p>
        </w:tc>
      </w:tr>
      <w:tr>
        <w:trPr/>
        <w:tc>
          <w:tcPr>
            <w:tcW w:w="262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488,949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27,713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516,662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(2,515</w:t>
            </w:r>
          </w:p>
        </w:tc>
        <w:tc>
          <w:tcPr>
            <w:tcW w:w="9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621"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U.S. government agencies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67,854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0"/>
              <w:jc w:val="right"/>
              <w:rPr/>
            </w:pPr>
            <w:r>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(328</w:t>
            </w:r>
          </w:p>
        </w:tc>
        <w:tc>
          <w:tcPr>
            <w:tcW w:w="9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62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the U.S. Treasury</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87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252,926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24,173</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277,099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(596</w:t>
            </w:r>
          </w:p>
        </w:tc>
        <w:tc>
          <w:tcPr>
            <w:tcW w:w="9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621" w:type="dxa"/>
            <w:tcBorders/>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pPr>
            <w:r>
              <w:rPr/>
              <w:t>—</w:t>
            </w:r>
          </w:p>
        </w:tc>
        <w:tc>
          <w:tcPr>
            <w:tcW w:w="99" w:type="dxa"/>
            <w:tcBorders/>
            <w:vAlign w:val="bottom"/>
          </w:tcPr>
          <w:p>
            <w:pPr>
              <w:pStyle w:val="TableContents"/>
              <w:bidi w:val="0"/>
              <w:spacing w:before="0" w:after="283"/>
              <w:jc w:val="left"/>
              <w:rPr/>
            </w:pPr>
            <w:r>
              <w:rPr/>
              <w:t> </w:t>
            </w:r>
          </w:p>
        </w:tc>
      </w:tr>
      <w:tr>
        <w:trPr/>
        <w:tc>
          <w:tcPr>
            <w:tcW w:w="2621"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municipal debt securities</w:t>
            </w:r>
          </w:p>
        </w:tc>
        <w:tc>
          <w:tcPr>
            <w:tcW w:w="60" w:type="dxa"/>
            <w:tcBorders/>
            <w:shd w:fill="CCEEFF" w:val="clear"/>
            <w:vAlign w:val="bottom"/>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w:t>
            </w:r>
          </w:p>
        </w:tc>
        <w:tc>
          <w:tcPr>
            <w:tcW w:w="9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621"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Total temporarily impaired securities</w:t>
            </w:r>
          </w:p>
        </w:tc>
        <w:tc>
          <w:tcPr>
            <w:tcW w:w="60" w:type="dxa"/>
            <w:tcBorders/>
            <w:vAlign w:val="bottom"/>
          </w:tcPr>
          <w:p>
            <w:pPr>
              <w:pStyle w:val="TableContents"/>
              <w:bidi w:val="0"/>
              <w:spacing w:before="0" w:after="283"/>
              <w:jc w:val="left"/>
              <w:rPr/>
            </w:pPr>
            <w:r>
              <w:rPr/>
              <w:t> </w:t>
            </w:r>
          </w:p>
        </w:tc>
        <w:tc>
          <w:tcPr>
            <w:tcW w:w="155" w:type="dxa"/>
            <w:tcBorders>
              <w:bottom w:val="double" w:sz="8" w:space="0" w:color="000000"/>
            </w:tcBorders>
            <w:tcMar>
              <w:bottom w:w="28" w:type="dxa"/>
            </w:tcMar>
            <w:vAlign w:val="bottom"/>
          </w:tcPr>
          <w:p>
            <w:pPr>
              <w:pStyle w:val="TableContents"/>
              <w:bidi w:val="0"/>
              <w:spacing w:before="0" w:after="283"/>
              <w:jc w:val="left"/>
              <w:rPr/>
            </w:pPr>
            <w:r>
              <w:rPr/>
              <w:t> </w:t>
            </w:r>
          </w:p>
        </w:tc>
        <w:tc>
          <w:tcPr>
            <w:tcW w:w="87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811,068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(3,296</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91"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52,015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863,083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(3,441</w:t>
            </w:r>
          </w:p>
        </w:tc>
        <w:tc>
          <w:tcPr>
            <w:tcW w:w="99"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believe that the decline in value of these securities is temporary and is primarily related to the change in market interest rates since purchase rather than underlying credit deterioration for any of the issuers. We believe it is more likely than not that we will be able to hold our debt securities with declines in value to maturity. Therefore, we intend to hold these securities to maturity and anticipate full recovery of our debt securities’ amortized cost basis at maturity.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tables present the major security types we held at December 31, 2024 and 2023 that we regularly measure and carry at fair value. The following tables segregate each security type by the level within the fair value hierarchy of the valuation techniques we utilized to determine the respective securities’ fair value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99"/>
        <w:gridCol w:w="60"/>
        <w:gridCol w:w="192"/>
        <w:gridCol w:w="1304"/>
        <w:gridCol w:w="60"/>
        <w:gridCol w:w="60"/>
        <w:gridCol w:w="196"/>
        <w:gridCol w:w="1092"/>
        <w:gridCol w:w="60"/>
        <w:gridCol w:w="60"/>
        <w:gridCol w:w="185"/>
        <w:gridCol w:w="1258"/>
        <w:gridCol w:w="79"/>
      </w:tblGrid>
      <w:tr>
        <w:trPr/>
        <w:tc>
          <w:tcPr>
            <w:tcW w:w="55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Quoted Prices in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Active Markets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Significant Other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Observable Inputs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2)</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Cash equivalents (1)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180,445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Corporate debt securities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1,032,066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1,032,066</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U.S. government agencies (2)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208,998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208,998</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the U.S. Treasury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806,724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806,724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 (2)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7,524</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municipal debt securities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Publicly traded equity securities included in other current assets (3)</w:t>
            </w:r>
          </w:p>
        </w:tc>
        <w:tc>
          <w:tcPr>
            <w:tcW w:w="6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451" w:right="0" w:hanging="178"/>
              <w:jc w:val="both"/>
              <w:rPr>
                <w:rFonts w:ascii="Times New Roman;Times;serif" w:hAnsi="Times New Roman;Times;serif"/>
                <w:sz w:val="20"/>
              </w:rPr>
            </w:pPr>
            <w:r>
              <w:rPr>
                <w:rFonts w:ascii="Times New Roman;Times;serif" w:hAnsi="Times New Roman;Times;serif"/>
                <w:sz w:val="20"/>
              </w:rPr>
              <w:t>Total</w:t>
            </w:r>
          </w:p>
        </w:tc>
        <w:tc>
          <w:tcPr>
            <w:tcW w:w="6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2,241,716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992,432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1,249,284</w:t>
            </w:r>
          </w:p>
        </w:tc>
        <w:tc>
          <w:tcPr>
            <w:tcW w:w="7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99"/>
        <w:gridCol w:w="60"/>
        <w:gridCol w:w="192"/>
        <w:gridCol w:w="1304"/>
        <w:gridCol w:w="60"/>
        <w:gridCol w:w="60"/>
        <w:gridCol w:w="196"/>
        <w:gridCol w:w="1092"/>
        <w:gridCol w:w="60"/>
        <w:gridCol w:w="60"/>
        <w:gridCol w:w="185"/>
        <w:gridCol w:w="1258"/>
        <w:gridCol w:w="79"/>
      </w:tblGrid>
      <w:tr>
        <w:trPr/>
        <w:tc>
          <w:tcPr>
            <w:tcW w:w="55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6"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8"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Quoted Prices in</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Active Markets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3"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Significant Other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Observable Inputs</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(Level 2)</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Cash equivalents (1)</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185,424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shd w:fill="CCEEFF" w:val="clear"/>
            <w:vAlign w:val="bottom"/>
          </w:tcPr>
          <w:p>
            <w:pPr>
              <w:pStyle w:val="TableContents"/>
              <w:bidi w:val="0"/>
              <w:spacing w:before="0" w:after="0"/>
              <w:jc w:val="right"/>
              <w:rPr/>
            </w:pPr>
            <w:r>
              <w:rPr/>
              <w:t>—</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Corporate debt securities (4)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801,228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801,228</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U.S. government agencies (2)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334,828</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Debt securities issued by the U.S. Treasury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807,679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Debt securities issued by states of the U.S. and political subdivisions of the states (2)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21,155</w:t>
            </w:r>
          </w:p>
        </w:tc>
        <w:tc>
          <w:tcPr>
            <w:tcW w:w="79"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Publicly traded equity securities included in other current assets (3)</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4"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2"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8" w:type="dxa"/>
            <w:tcBorders>
              <w:bottom w:val="single" w:sz="12" w:space="0" w:color="000000"/>
            </w:tcBorders>
            <w:tcMar>
              <w:bottom w:w="28" w:type="dxa"/>
            </w:tcMar>
            <w:vAlign w:val="bottom"/>
          </w:tcPr>
          <w:p>
            <w:pPr>
              <w:pStyle w:val="TableContents"/>
              <w:bidi w:val="0"/>
              <w:spacing w:before="0" w:after="0"/>
              <w:jc w:val="right"/>
              <w:rPr/>
            </w:pPr>
            <w:r>
              <w:rPr/>
              <w:t>—</w:t>
            </w:r>
          </w:p>
        </w:tc>
        <w:tc>
          <w:tcPr>
            <w:tcW w:w="79" w:type="dxa"/>
            <w:tcBorders/>
            <w:vAlign w:val="bottom"/>
          </w:tcPr>
          <w:p>
            <w:pPr>
              <w:pStyle w:val="TableContents"/>
              <w:bidi w:val="0"/>
              <w:spacing w:before="0" w:after="283"/>
              <w:jc w:val="left"/>
              <w:rPr/>
            </w:pPr>
            <w:r>
              <w:rPr/>
              <w:t> </w:t>
            </w:r>
          </w:p>
        </w:tc>
      </w:tr>
      <w:tr>
        <w:trPr/>
        <w:tc>
          <w:tcPr>
            <w:tcW w:w="5599" w:type="dxa"/>
            <w:tcBorders/>
            <w:shd w:fill="CCEEFF" w:val="clear"/>
            <w:vAlign w:val="bottom"/>
          </w:tcPr>
          <w:p>
            <w:pPr>
              <w:pStyle w:val="TableContents"/>
              <w:bidi w:val="0"/>
              <w:spacing w:before="0" w:after="0"/>
              <w:ind w:left="451" w:right="0" w:hanging="178"/>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2,156,615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0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999,404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5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1,157,211</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6250" w:type="dxa"/>
        <w:jc w:val="left"/>
        <w:tblInd w:w="0" w:type="dxa"/>
        <w:tblLayout w:type="fixed"/>
        <w:tblCellMar>
          <w:top w:w="0" w:type="dxa"/>
          <w:left w:w="0" w:type="dxa"/>
          <w:bottom w:w="0" w:type="dxa"/>
          <w:right w:w="0" w:type="dxa"/>
        </w:tblCellMar>
      </w:tblPr>
      <w:tblGrid>
        <w:gridCol w:w="260"/>
        <w:gridCol w:w="59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cash and cash equivalents in our consolidated balance sheets.</w:t>
            </w:r>
          </w:p>
        </w:tc>
      </w:tr>
    </w:tbl>
    <w:p>
      <w:pPr>
        <w:pStyle w:val="TextBody"/>
        <w:bidi w:val="0"/>
        <w:spacing w:before="0" w:after="0"/>
        <w:jc w:val="left"/>
        <w:rPr/>
      </w:pPr>
      <w:r>
        <w:rPr/>
      </w:r>
    </w:p>
    <w:tbl>
      <w:tblPr>
        <w:tblW w:w="5995" w:type="dxa"/>
        <w:jc w:val="left"/>
        <w:tblInd w:w="0" w:type="dxa"/>
        <w:tblLayout w:type="fixed"/>
        <w:tblCellMar>
          <w:top w:w="0" w:type="dxa"/>
          <w:left w:w="0" w:type="dxa"/>
          <w:bottom w:w="0" w:type="dxa"/>
          <w:right w:w="0" w:type="dxa"/>
        </w:tblCellMar>
      </w:tblPr>
      <w:tblGrid>
        <w:gridCol w:w="260"/>
        <w:gridCol w:w="57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7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short-term investments in our consolidated balance sheets.</w:t>
            </w:r>
          </w:p>
        </w:tc>
      </w:tr>
    </w:tbl>
    <w:p>
      <w:pPr>
        <w:pStyle w:val="TextBody"/>
        <w:bidi w:val="0"/>
        <w:spacing w:before="0" w:after="0"/>
        <w:jc w:val="left"/>
        <w:rPr/>
      </w:pPr>
      <w:r>
        <w:rPr/>
      </w:r>
    </w:p>
    <w:tbl>
      <w:tblPr>
        <w:tblW w:w="5695" w:type="dxa"/>
        <w:jc w:val="left"/>
        <w:tblInd w:w="0" w:type="dxa"/>
        <w:tblLayout w:type="fixed"/>
        <w:tblCellMar>
          <w:top w:w="0" w:type="dxa"/>
          <w:left w:w="0" w:type="dxa"/>
          <w:bottom w:w="0" w:type="dxa"/>
          <w:right w:w="0" w:type="dxa"/>
        </w:tblCellMar>
      </w:tblPr>
      <w:tblGrid>
        <w:gridCol w:w="260"/>
        <w:gridCol w:w="54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4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Included in other current assets in our consolidated balance sheets.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$33.0 million was included in cash and cash equivalents, with the difference included in short-term investments in our consolidated balance sheets.</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Convertible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1.75% Notes and 0% Notes had a fair value of $569.3 million and $612.8 million at December 31, 2024, respectively. Our 1.75% Notes, 0% Notes and 0.125% Notes had a fair value of $661.1 million, $667.8 million and $42.4 million at December 31, 2023, respectively. We determine the fair value of our notes based on quoted market prices for these notes, which are Level 2 measurements because the notes do not trade regularly.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7. Long-Term Obligations and Commitments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carrying value of our long-term obligations was as follows (in thousands):</w:t>
      </w:r>
    </w:p>
    <w:p>
      <w:pPr>
        <w:pStyle w:val="TextBody"/>
        <w:bidi w:val="0"/>
        <w:spacing w:before="0" w:after="0"/>
        <w:jc w:val="left"/>
        <w:rPr/>
      </w:pPr>
      <w:r>
        <w:rPr/>
      </w:r>
    </w:p>
    <w:tbl>
      <w:tblPr>
        <w:tblW w:w="5645" w:type="dxa"/>
        <w:jc w:val="left"/>
        <w:tblInd w:w="0" w:type="dxa"/>
        <w:tblLayout w:type="fixed"/>
        <w:tblCellMar>
          <w:top w:w="0" w:type="dxa"/>
          <w:left w:w="0" w:type="dxa"/>
          <w:bottom w:w="0" w:type="dxa"/>
          <w:right w:w="0" w:type="dxa"/>
        </w:tblCellMar>
      </w:tblPr>
      <w:tblGrid>
        <w:gridCol w:w="3410"/>
        <w:gridCol w:w="60"/>
        <w:gridCol w:w="125"/>
        <w:gridCol w:w="845"/>
        <w:gridCol w:w="80"/>
        <w:gridCol w:w="60"/>
        <w:gridCol w:w="125"/>
        <w:gridCol w:w="845"/>
        <w:gridCol w:w="95"/>
      </w:tblGrid>
      <w:tr>
        <w:trPr/>
        <w:tc>
          <w:tcPr>
            <w:tcW w:w="3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8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w:t>
            </w:r>
          </w:p>
        </w:tc>
        <w:tc>
          <w:tcPr>
            <w:tcW w:w="9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1.75% convertible senior notes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565,026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562,285</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0% convertible senior notes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628,535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625,380</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Liability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542,212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170,869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178,969</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Mortgage 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8,859</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 obligations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43,425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33,714</w:t>
            </w:r>
          </w:p>
        </w:tc>
        <w:tc>
          <w:tcPr>
            <w:tcW w:w="9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1,958,781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1,922,943</w:t>
            </w:r>
          </w:p>
        </w:tc>
        <w:tc>
          <w:tcPr>
            <w:tcW w:w="9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current portion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(9,279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(8,831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Total Long-Term Obligations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1,949,502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1,914,112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2023, our 0.125% Notes was classified as a current liability because they matured in December 2024.</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Convertible Debt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1.75 Percent Convertible Senior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2023, we completed a $575.0 million offering of our 0.125% Notes and used $488.2 million of the net proceeds from the issuance of the 1.75% Notes to repurchase $504.4 million in principal of our 0.125% Notes. In December 2024, we used $44.5 million of the net proceeds to settle the remaining principal balance of our 0.125% Notes upon maturity.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2024, we had the following 1.75% Notes outstanding (in millions, except interest rate and price per share data):</w:t>
      </w:r>
    </w:p>
    <w:p>
      <w:pPr>
        <w:pStyle w:val="TextBody"/>
        <w:bidi w:val="0"/>
        <w:spacing w:before="0" w:after="0"/>
        <w:jc w:val="left"/>
        <w:rPr/>
      </w:pPr>
      <w:r>
        <w:rPr/>
      </w:r>
    </w:p>
    <w:tbl>
      <w:tblPr>
        <w:tblW w:w="5579" w:type="dxa"/>
        <w:jc w:val="left"/>
        <w:tblInd w:w="0" w:type="dxa"/>
        <w:tblLayout w:type="fixed"/>
        <w:tblCellMar>
          <w:top w:w="0" w:type="dxa"/>
          <w:left w:w="0" w:type="dxa"/>
          <w:bottom w:w="0" w:type="dxa"/>
          <w:right w:w="0" w:type="dxa"/>
        </w:tblCellMar>
      </w:tblPr>
      <w:tblGrid>
        <w:gridCol w:w="4235"/>
        <w:gridCol w:w="60"/>
        <w:gridCol w:w="222"/>
        <w:gridCol w:w="862"/>
        <w:gridCol w:w="200"/>
      </w:tblGrid>
      <w:tr>
        <w:trPr/>
        <w:tc>
          <w:tcPr>
            <w:tcW w:w="4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1.75% Notes</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Outstanding principal balance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575.0</w:t>
            </w:r>
          </w:p>
        </w:tc>
        <w:tc>
          <w:tcPr>
            <w:tcW w:w="20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Maturity date</w:t>
            </w:r>
          </w:p>
        </w:tc>
        <w:tc>
          <w:tcPr>
            <w:tcW w:w="60" w:type="dxa"/>
            <w:tcBorders/>
            <w:shd w:fill="CCEEFF" w:val="clear"/>
            <w:vAlign w:val="bottom"/>
          </w:tcPr>
          <w:p>
            <w:pPr>
              <w:pStyle w:val="TableContents"/>
              <w:bidi w:val="0"/>
              <w:spacing w:before="0" w:after="283"/>
              <w:jc w:val="left"/>
              <w:rPr/>
            </w:pPr>
            <w:r>
              <w:rPr/>
              <w:t> </w:t>
            </w:r>
          </w:p>
        </w:tc>
        <w:tc>
          <w:tcPr>
            <w:tcW w:w="1084"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June 2028</w:t>
            </w:r>
          </w:p>
        </w:tc>
        <w:tc>
          <w:tcPr>
            <w:tcW w:w="200"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rate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Conversion price per share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6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53.73</w:t>
            </w:r>
          </w:p>
        </w:tc>
        <w:tc>
          <w:tcPr>
            <w:tcW w:w="200"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shares of common stock subject to conversion</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0 Percent Convertible Senior Notes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2021, we completed a $632.5 million offering of our 0% Notes. We used $319.0 million of the net proceeds from the issuance of our 0% Notes to pay the remaining $309.9 million principal balance of our 1% convertible senior notes, or 1% Notes, in 2021.</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2024, we had the following 0% Notes outstanding (in millions, except interest rate and price per share data):</w:t>
      </w:r>
    </w:p>
    <w:p>
      <w:pPr>
        <w:pStyle w:val="TextBody"/>
        <w:bidi w:val="0"/>
        <w:spacing w:before="0" w:after="0"/>
        <w:jc w:val="left"/>
        <w:rPr/>
      </w:pPr>
      <w:r>
        <w:rPr/>
      </w:r>
    </w:p>
    <w:tbl>
      <w:tblPr>
        <w:tblW w:w="5414" w:type="dxa"/>
        <w:jc w:val="left"/>
        <w:tblInd w:w="0" w:type="dxa"/>
        <w:tblLayout w:type="fixed"/>
        <w:tblCellMar>
          <w:top w:w="0" w:type="dxa"/>
          <w:left w:w="0" w:type="dxa"/>
          <w:bottom w:w="0" w:type="dxa"/>
          <w:right w:w="0" w:type="dxa"/>
        </w:tblCellMar>
      </w:tblPr>
      <w:tblGrid>
        <w:gridCol w:w="4250"/>
        <w:gridCol w:w="60"/>
        <w:gridCol w:w="185"/>
        <w:gridCol w:w="719"/>
        <w:gridCol w:w="200"/>
      </w:tblGrid>
      <w:tr>
        <w:trPr/>
        <w:tc>
          <w:tcPr>
            <w:tcW w:w="42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0% Notes</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Outstanding principal balance</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632.5</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Maturity date</w:t>
            </w:r>
          </w:p>
        </w:tc>
        <w:tc>
          <w:tcPr>
            <w:tcW w:w="60" w:type="dxa"/>
            <w:tcBorders/>
            <w:shd w:fill="CCEEFF" w:val="clear"/>
            <w:vAlign w:val="bottom"/>
          </w:tcPr>
          <w:p>
            <w:pPr>
              <w:pStyle w:val="TableContents"/>
              <w:bidi w:val="0"/>
              <w:spacing w:before="0" w:after="283"/>
              <w:jc w:val="left"/>
              <w:rPr/>
            </w:pPr>
            <w:r>
              <w:rPr/>
              <w:t> </w:t>
            </w:r>
          </w:p>
        </w:tc>
        <w:tc>
          <w:tcPr>
            <w:tcW w:w="904"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April 2026</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rate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Effective interest rate</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25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Conversion price per share</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57.84</w:t>
            </w:r>
          </w:p>
        </w:tc>
        <w:tc>
          <w:tcPr>
            <w:tcW w:w="20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Effective conversion price per share with call spread</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76.39</w:t>
            </w:r>
          </w:p>
        </w:tc>
        <w:tc>
          <w:tcPr>
            <w:tcW w:w="200"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shares of common stock subject to conversion</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conjunction with the 2021 offering, we entered into a call spread transaction, which was comprised of purchasing note hedges and selling warrants, to minimize the impact of potential economic dilution upon conversion of our 0% Notes by increasing the effective conversion price on our 0% Notes. We increased our effective conversion price to $76.39 with the same number of underlying shares as our 0% Notes. The call spread cost us $46.9 million, of which $136.7 million was for the note hedge purchase, offset by $89.8 million we received for selling the warrants. Similar to our 0% Notes, our note hedges are subject to adjustment. Additionally, our note hedges are exercisable upon conversion of the 0% Notes. The note hedges will expire upon maturity of the 0% Notes, or April 2026. The note hedges and warrants are separate transactions and are not part of the terms of our 0% Notes. The holders of the 0% Notes do not have any rights with respect to the note hedges and warrants.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the amount we paid for the note hedges and the amount we received for the warrants in additional paid-in capital in our consolidated balance sheets. Refer to Note 1, </w:t>
      </w:r>
      <w:r>
        <w:rPr>
          <w:rFonts w:ascii="Times New Roman;Times;serif" w:hAnsi="Times New Roman;Times;serif"/>
          <w:i/>
          <w:color w:val="000000"/>
          <w:sz w:val="20"/>
        </w:rPr>
        <w:t>Organization and</w:t>
      </w:r>
      <w:r>
        <w:rPr>
          <w:rFonts w:ascii="Times New Roman;Times;serif" w:hAnsi="Times New Roman;Times;serif"/>
          <w:color w:val="000000"/>
          <w:sz w:val="20"/>
        </w:rPr>
        <w:t> </w:t>
      </w:r>
      <w:r>
        <w:rPr>
          <w:rFonts w:ascii="Times New Roman;Times;serif" w:hAnsi="Times New Roman;Times;serif"/>
          <w:i/>
          <w:color w:val="000000"/>
          <w:sz w:val="20"/>
        </w:rPr>
        <w:t>Significant Accounting Policies</w:t>
      </w:r>
      <w:r>
        <w:rPr>
          <w:rFonts w:ascii="Times New Roman;Times;serif" w:hAnsi="Times New Roman;Times;serif"/>
          <w:color w:val="000000"/>
          <w:sz w:val="20"/>
        </w:rPr>
        <w:t>, for our Call Spread accounting policy. We reassess our ability to continue to classify the note hedges and warrants in shareholders’ equity at each reporting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0.125 Percent Convertible Senior Notes and Call Spread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2019, we entered into privately negotiated exchange and/or subscription agreements with certain new investors and certain holders of our 1% Notes to exchange $375.6 million of our 1% Notes for $439.3 million of our 0.125% Notes, and to issue $109.5 million of our 0.125%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discussed above, in 2023, we repurchased $504.4 million of our 0.125% Notes. As a result of the repurchase, we recognized a $13.4 million gain on the early retirement of debt, which we recorded as other income in our consolidated statement of operations for the year ended December 31, 2023. The gain on the early retirement of our debt is the difference between the amounts paid to repurchase our 0.125% Notes and the net carrying balance of the liability at the time that we completed the repurchases. We paid the remaining principal balance of our 0.125% Notes with $44.5 million of cash at maturity in December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conjunction with the issuance of our 0.125% Notes in 2019, we entered into a call spread transaction, which was comprised of purchasing note hedges and selling warrants, to minimize the impact of potential economic dilution upon conversion of our 0.125% Notes by increasing the effective conversion price on our 0.125% Notes. We increased our effective conversion price from $83.28 to $123.38 with the same number of underlying shares as our 0.125% Notes. The call spread cost us $52.6 million, of which $108.7 million was for the note hedge purchase, offset by $56.1 million we received for selling the warrants. Similar to our 0.125% Notes, our note hedges were subject to adjustment. Additionally, our note hedges were exercisable upon conversion of the 0.125% Notes. The note hedges expired upon maturity of the 0.125% Notes in December 2024. The warrants will expire in March 2025. The note hedges and warrants were separate transactions and were not part of the terms of our 0.125% Notes. The holders of the 0.125% Notes did not have any rights with respect to the note hedges and warrants.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We recorded the amount we paid for the note hedges and the amount we received for the warrants in additional paid-in capital in our consolidated balance sheets. Refer to Note 1, </w:t>
      </w:r>
      <w:r>
        <w:rPr>
          <w:rFonts w:ascii="Times New Roman;Times;serif" w:hAnsi="Times New Roman;Times;serif"/>
          <w:i/>
          <w:color w:val="000000"/>
          <w:sz w:val="20"/>
        </w:rPr>
        <w:t>Organization and</w:t>
      </w:r>
      <w:r>
        <w:rPr>
          <w:rFonts w:ascii="Times New Roman;Times;serif" w:hAnsi="Times New Roman;Times;serif"/>
          <w:color w:val="000000"/>
          <w:sz w:val="20"/>
        </w:rPr>
        <w:t> </w:t>
      </w:r>
      <w:r>
        <w:rPr>
          <w:rFonts w:ascii="Times New Roman;Times;serif" w:hAnsi="Times New Roman;Times;serif"/>
          <w:i/>
          <w:color w:val="000000"/>
          <w:sz w:val="20"/>
        </w:rPr>
        <w:t>Significant Accounting Policies</w:t>
      </w:r>
      <w:r>
        <w:rPr>
          <w:rFonts w:ascii="Times New Roman;Times;serif" w:hAnsi="Times New Roman;Times;serif"/>
          <w:color w:val="000000"/>
          <w:sz w:val="20"/>
        </w:rPr>
        <w:t>, for our Call Spread accounting policy. We reassess our ability to continue to classify the note hedges and warrants in shareholders’ equity at each reporting period.</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Other Terms of Convertible Senior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1.75% and 0% Notes are convertible under certain conditions, at the option of the note holders. We can settle conversions of the notes, at our election, in cash, shares of our common stock or a combination of both. We may not redeem the notes prior to maturity, and we do not have to provide a sinking fund for them. Holders of the notes may require us to purchase some or all of their notes upon the occurrence of certain fundamental changes, as set forth in the indentures governing the notes, at a purchase price equal to 100 percent of the principal amount of the notes to be purchased, plus any accrued and unpaid interest. The 0.125% Notes were subject to similar terms.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total interest expense for our outstanding senior convertible notes for the years ended December 31, 2024, 2023 and 2022 included $6.1 million, $5.9 million and $5.3 million, respectively, of non-cash interest expense related to the amortization of debt issuance costs for our convertible notes.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Financing Arrangements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Operating Facilities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2017, we purchased the building that houses our primary R&amp;D facility for $79.4 million and our manufacturing facility for $14.0 million. We financed the purchase of these two facilities with mortgage debt of $60.4 million in total. Our primary R&amp;D facility mortgage had an interest rate of 3.88 percent. Our manufacturing facility mortgage has an interest rate of 4.20 percent. During the first five years of both mortgages, we were only required to make interest payments. We began making principal payments in 2022. Our manufacturing facility mortgage matures in August 2027. We repaid our primary R&amp;D facility mortgage in 2022 in conjunction with a sale and leaseback transaction.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concurrently entered into two purchase and sale agreements with a real estate investor. In the same period, we closed the first transaction in which we sold the facilities at our headquarters in Carlsbad, California, which includes our primary R&amp;D facility, for a purchase price of $263.4 million. As a result, we de-recognized the related land and improvements, building and building improvements, which resulted in a net gain of $150.1 million that we reported in other income in our consolidated statements of operations. We used a portion of the sale proceeds to extinguish our outstanding mortgage debt on our primary R&amp;D facility of $51.3 million. In connection with this transaction, we leased back our headquarters facilities for an initial lease term of 15 years with options to extend the lease for two additional terms of five years each.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August 2023, we closed the second transaction and transferred legal ownership of two lots of undeveloped land adjacent to our headquarters to the real estate investor for a purchase price of $33 million. In connection with this transaction, we entered into a build-to-suit lease agreement with the same real estate investor to lease a new R&amp;D facility. The lessor will develop and construct a new building composed of R&amp;D and office space. We will design and construct tenant improvements to customize the facility’s interior space. We will lease the facility for an initial term of 15 years with options to extend the lease for two additional terms of five years each. The lease will commence once the structure of this new facility is completed.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Since the building is under construction and unavailable to lease, we are unable to complete the sale-leaseback evaluation under ASC 842, </w:t>
      </w:r>
      <w:r>
        <w:rPr>
          <w:rFonts w:ascii="Times New Roman;Times;serif" w:hAnsi="Times New Roman;Times;serif"/>
          <w:i/>
          <w:color w:val="000000"/>
          <w:sz w:val="20"/>
        </w:rPr>
        <w:t>Leases</w:t>
      </w:r>
      <w:r>
        <w:rPr>
          <w:rFonts w:ascii="Times New Roman;Times;serif" w:hAnsi="Times New Roman;Times;serif"/>
          <w:color w:val="000000"/>
          <w:sz w:val="20"/>
        </w:rPr>
        <w:t>. As a result, the land remains in our consolidated balance sheets and we accounted for the proceeds as a financial liability. We will reassess the transaction under the sale-leaseback accounting guidance when the facilities are available for lease commencement.</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Debt Maturity Schedules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Annual convertible and mortgage debt maturities, including fixed and determinable interest, at December 31, 2024 are as follows (in thousands):</w:t>
      </w:r>
    </w:p>
    <w:p>
      <w:pPr>
        <w:pStyle w:val="TextBody"/>
        <w:bidi w:val="0"/>
        <w:spacing w:before="0" w:after="0"/>
        <w:jc w:val="left"/>
        <w:rPr/>
      </w:pPr>
      <w:r>
        <w:rPr/>
      </w:r>
    </w:p>
    <w:tbl>
      <w:tblPr>
        <w:tblW w:w="5765" w:type="dxa"/>
        <w:jc w:val="left"/>
        <w:tblInd w:w="0" w:type="dxa"/>
        <w:tblLayout w:type="fixed"/>
        <w:tblCellMar>
          <w:top w:w="0" w:type="dxa"/>
          <w:left w:w="0" w:type="dxa"/>
          <w:bottom w:w="0" w:type="dxa"/>
          <w:right w:w="0" w:type="dxa"/>
        </w:tblCellMar>
      </w:tblPr>
      <w:tblGrid>
        <w:gridCol w:w="4640"/>
        <w:gridCol w:w="60"/>
        <w:gridCol w:w="125"/>
        <w:gridCol w:w="845"/>
        <w:gridCol w:w="95"/>
      </w:tblGrid>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10,657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643,157</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18,737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2028</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580,091</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Thereafter</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debt and mortgage maturities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1,253,062</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Current portion included in other current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(165</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Fixed and determinable interest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(36,511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Less: Debt issuance costs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(13,981</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64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debt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1,202,405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Operating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Carlsbad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lease a facility adjacent to our manufacturing facility that has laboratory and office space that we use to support our manufacturing facility. We lease this space under a non-cancelable operating lease. In 2020, we exercised our option to extend our lease, extending our lease term from June 2021 to August 2026. We have one remaining option to extend the lease for an additional five-year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also lease an additional office space and warehouse space in Carlsbad. We lease these spaces under non-cancelable operating leases. In 2022, we exercised our option to extend the office space lease, extending our term from January 2023 to May 2027. We have no remaining options to extend this lease. Our warehouse space lease in Carlsbad has an initial term ending in 2028 with no options to extend the 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in the section titled, </w:t>
      </w:r>
      <w:r>
        <w:rPr>
          <w:rFonts w:ascii="Times New Roman;Times;serif" w:hAnsi="Times New Roman;Times;serif"/>
          <w:i/>
          <w:color w:val="000000"/>
          <w:sz w:val="20"/>
        </w:rPr>
        <w:t>Financing Arrangements</w:t>
      </w:r>
      <w:r>
        <w:rPr>
          <w:rFonts w:ascii="Times New Roman;Times;serif" w:hAnsi="Times New Roman;Times;serif"/>
          <w:color w:val="000000"/>
          <w:sz w:val="20"/>
        </w:rPr>
        <w:t>, we lease our headquarters, which includes our primary R&amp;D facility, as part of a sale and leaseback transaction that closed in 2022. The initial lease term for our headquarters facilities is 15 years with options to extend the lease for two additional terms of five years each. We determined at lease inception that it was not reasonably certain that we would exercise any of the options to extend the lease. We expect our lease payments over the initial term to total approximately $280 million. In connection with the transfer of legal ownership of the two lots of undeveloped land to the real estate investor, we entered into a build-to-suit lease agreement with the same real estate investor who will build a new R&amp;D facility for us on those lots. The lease will commence once the structure of this new facility is completed.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Oceanside 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build-to-suit lease agreement to lease a development chemistry and manufacturing facility to be constructed by the lessor in Oceanside, California. We capitalized costs that we incurred related to the design and development of tenant improvements as construction-in-progress in our consolidated balance sheets. In 2023, we reached a mutual agreement with the lessor to terminate the lease agreement. As a result, we recorded a charge of $20 million, primarily associated with the impairment of construction-in-progress assets, within SG&amp;A expense in our consolidated statements of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Boston Leases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entered into an operating lease agreement for office space located in Boston, Massachusetts which commenced in August 2018. We are leasing this space under a non-cancelable operating lease with an initial term ending after 123 months and an option to extend the lease for an additional five-year term. Under the lease agreement, we received a three-month free rent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2022, we entered into a sublease agreement for our office space located in Boston, Massachusetts. The sublease commencement date was in January 2022 when the office space was ready for our tenant’s occupancy. We are subleasing this space under a non-cancelable operating sublease with a sublease term ending 83 months following the sublease commencement date with no option to extend the sublease. Under the sublease agreement we provided a seven-month free rent period, which commenced in January 2022. We will receive lease payments over the sublease term totaling $9.6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entered into an operating lease agreement for another office space located in Boston, Massachusetts which commenced in 2021. We are leasing this space under a non-cancelable operating lease with an initial term ending 91 months following the lease commencement date and an option to extend the lease for an additional five-year term. Under the lease agreement, we received a seven-month free rent period, which commenced in November 2021. Our lease payments over the initial term total $6.8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When we determined our lease term for our operating lease right-of-use assets and lease liabilities for these leases, we did not include the extension options for these leases in the original lease term because it was not reasonably certain we would exercise those extension options.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Amounts related to our operating leases were as follows (dollar amounts in millions):</w:t>
      </w:r>
    </w:p>
    <w:p>
      <w:pPr>
        <w:pStyle w:val="TextBody"/>
        <w:bidi w:val="0"/>
        <w:spacing w:before="0" w:after="0"/>
        <w:jc w:val="left"/>
        <w:rPr/>
      </w:pPr>
      <w:r>
        <w:rPr/>
      </w:r>
    </w:p>
    <w:tbl>
      <w:tblPr>
        <w:tblW w:w="5369" w:type="dxa"/>
        <w:jc w:val="left"/>
        <w:tblInd w:w="0" w:type="dxa"/>
        <w:tblLayout w:type="fixed"/>
        <w:tblCellMar>
          <w:top w:w="0" w:type="dxa"/>
          <w:left w:w="0" w:type="dxa"/>
          <w:bottom w:w="0" w:type="dxa"/>
          <w:right w:w="0" w:type="dxa"/>
        </w:tblCellMar>
      </w:tblPr>
      <w:tblGrid>
        <w:gridCol w:w="3230"/>
        <w:gridCol w:w="60"/>
        <w:gridCol w:w="384"/>
        <w:gridCol w:w="1495"/>
        <w:gridCol w:w="200"/>
      </w:tblGrid>
      <w:tr>
        <w:trPr/>
        <w:tc>
          <w:tcPr>
            <w:tcW w:w="3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7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At December 31, 2024</w:t>
            </w:r>
          </w:p>
        </w:tc>
        <w:tc>
          <w:tcPr>
            <w:tcW w:w="20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Right-of-use operating lease assets</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161.9</w:t>
            </w:r>
          </w:p>
        </w:tc>
        <w:tc>
          <w:tcPr>
            <w:tcW w:w="20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Operating lease liabilities</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4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170.9</w:t>
            </w:r>
          </w:p>
        </w:tc>
        <w:tc>
          <w:tcPr>
            <w:tcW w:w="20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Weighted average remaining lease term</w:t>
            </w:r>
          </w:p>
        </w:tc>
        <w:tc>
          <w:tcPr>
            <w:tcW w:w="60" w:type="dxa"/>
            <w:tcBorders/>
            <w:shd w:fill="CCEEFF" w:val="clear"/>
            <w:vAlign w:val="bottom"/>
          </w:tcPr>
          <w:p>
            <w:pPr>
              <w:pStyle w:val="TableContents"/>
              <w:bidi w:val="0"/>
              <w:spacing w:before="0" w:after="283"/>
              <w:jc w:val="left"/>
              <w:rPr/>
            </w:pPr>
            <w:r>
              <w:rPr/>
              <w:t> </w:t>
            </w:r>
          </w:p>
        </w:tc>
        <w:tc>
          <w:tcPr>
            <w:tcW w:w="1879" w:type="dxa"/>
            <w:gridSpan w:val="2"/>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 years</w:t>
            </w:r>
          </w:p>
        </w:tc>
        <w:tc>
          <w:tcPr>
            <w:tcW w:w="20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Weighted average discount rate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F-35</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paid $20.5 million, $20.1 million and $4.0 million of lease payments, which were included in operating activities in our consolidated statements of cash flows.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of December 31, 2024, the future payments for our operating lease liabilities are as follows (in thousands):</w:t>
      </w:r>
    </w:p>
    <w:p>
      <w:pPr>
        <w:pStyle w:val="TextBody"/>
        <w:bidi w:val="0"/>
        <w:spacing w:before="0" w:after="0"/>
        <w:jc w:val="left"/>
        <w:rPr/>
      </w:pPr>
      <w:r>
        <w:rPr/>
      </w:r>
    </w:p>
    <w:tbl>
      <w:tblPr>
        <w:tblW w:w="6419" w:type="dxa"/>
        <w:jc w:val="left"/>
        <w:tblInd w:w="0" w:type="dxa"/>
        <w:tblLayout w:type="fixed"/>
        <w:tblCellMar>
          <w:top w:w="0" w:type="dxa"/>
          <w:left w:w="0" w:type="dxa"/>
          <w:bottom w:w="0" w:type="dxa"/>
          <w:right w:w="0" w:type="dxa"/>
        </w:tblCellMar>
      </w:tblPr>
      <w:tblGrid>
        <w:gridCol w:w="4760"/>
        <w:gridCol w:w="60"/>
        <w:gridCol w:w="228"/>
        <w:gridCol w:w="1276"/>
        <w:gridCol w:w="95"/>
      </w:tblGrid>
      <w:tr>
        <w:trPr/>
        <w:tc>
          <w:tcPr>
            <w:tcW w:w="4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sz w:val="20"/>
              </w:rPr>
            </w:pPr>
            <w:r>
              <w:rPr>
                <w:rFonts w:ascii="Times New Roman;Times;serif" w:hAnsi="Times New Roman;Times;serif"/>
                <w:b/>
                <w:sz w:val="20"/>
              </w:rPr>
              <w:t>Operating</w:t>
            </w:r>
            <w:r>
              <w:rPr>
                <w:rFonts w:ascii="Times New Roman;Times;serif" w:hAnsi="Times New Roman;Times;serif"/>
                <w:sz w:val="20"/>
              </w:rPr>
              <w:t xml:space="preserve"> </w:t>
            </w:r>
            <w:r>
              <w:rPr>
                <w:rFonts w:ascii="Times New Roman;Times;serif" w:hAnsi="Times New Roman;Times;serif"/>
                <w:b/>
                <w:sz w:val="20"/>
              </w:rPr>
              <w:t>Leases</w:t>
            </w:r>
          </w:p>
        </w:tc>
        <w:tc>
          <w:tcPr>
            <w:tcW w:w="9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Year ending December 31,</w:t>
            </w:r>
          </w:p>
        </w:tc>
        <w:tc>
          <w:tcPr>
            <w:tcW w:w="60" w:type="dxa"/>
            <w:tcBorders/>
            <w:vAlign w:val="bottom"/>
          </w:tcPr>
          <w:p>
            <w:pPr>
              <w:pStyle w:val="TableContents"/>
              <w:bidi w:val="0"/>
              <w:spacing w:before="0" w:after="283"/>
              <w:jc w:val="left"/>
              <w:rPr/>
            </w:pPr>
            <w:r>
              <w:rPr/>
              <w:t> </w:t>
            </w:r>
          </w:p>
        </w:tc>
        <w:tc>
          <w:tcPr>
            <w:tcW w:w="150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20,870</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2026</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21,032</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21,054</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2028</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20,973</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both"/>
              <w:rPr>
                <w:rFonts w:ascii="Times New Roman;Times;serif" w:hAnsi="Times New Roman;Times;serif"/>
                <w:sz w:val="20"/>
              </w:rPr>
            </w:pPr>
            <w:r>
              <w:rPr>
                <w:rFonts w:ascii="Times New Roman;Times;serif" w:hAnsi="Times New Roman;Times;serif"/>
                <w:sz w:val="20"/>
              </w:rPr>
              <w:t>2029</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18,687</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0" w:right="0" w:firstLine="374"/>
              <w:jc w:val="both"/>
              <w:rPr>
                <w:rFonts w:ascii="Times New Roman;Times;serif" w:hAnsi="Times New Roman;Times;serif"/>
                <w:sz w:val="20"/>
              </w:rPr>
            </w:pPr>
            <w:r>
              <w:rPr>
                <w:rFonts w:ascii="Times New Roman;Times;serif" w:hAnsi="Times New Roman;Times;serif"/>
                <w:sz w:val="20"/>
              </w:rPr>
              <w:t>Thereafter</w:t>
            </w:r>
          </w:p>
        </w:tc>
        <w:tc>
          <w:tcPr>
            <w:tcW w:w="60" w:type="dxa"/>
            <w:tcBorders/>
            <w:vAlign w:val="bottom"/>
          </w:tcPr>
          <w:p>
            <w:pPr>
              <w:pStyle w:val="TableContents"/>
              <w:bidi w:val="0"/>
              <w:spacing w:before="0" w:after="283"/>
              <w:jc w:val="lef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157,622</w:t>
            </w:r>
          </w:p>
        </w:tc>
        <w:tc>
          <w:tcPr>
            <w:tcW w:w="9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374"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260,238</w:t>
            </w:r>
          </w:p>
        </w:tc>
        <w:tc>
          <w:tcPr>
            <w:tcW w:w="9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0" w:right="0" w:firstLine="374"/>
              <w:jc w:val="left"/>
              <w:rPr>
                <w:rFonts w:ascii="Times New Roman;Times;serif" w:hAnsi="Times New Roman;Times;serif"/>
                <w:sz w:val="20"/>
              </w:rPr>
            </w:pPr>
            <w:r>
              <w:rPr>
                <w:rFonts w:ascii="Times New Roman;Times;serif" w:hAnsi="Times New Roman;Times;serif"/>
                <w:sz w:val="20"/>
              </w:rPr>
              <w:t>Less: Imputed interest</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(89,369</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bottom"/>
          </w:tcPr>
          <w:p>
            <w:pPr>
              <w:pStyle w:val="TableContents"/>
              <w:bidi w:val="0"/>
              <w:spacing w:before="0" w:after="0"/>
              <w:ind w:left="374" w:right="0" w:hanging="0"/>
              <w:jc w:val="left"/>
              <w:rPr>
                <w:rFonts w:ascii="Times New Roman;Times;serif" w:hAnsi="Times New Roman;Times;serif"/>
                <w:sz w:val="20"/>
              </w:rPr>
            </w:pPr>
            <w:r>
              <w:rPr>
                <w:rFonts w:ascii="Times New Roman;Times;serif" w:hAnsi="Times New Roman;Times;serif"/>
                <w:sz w:val="20"/>
              </w:rPr>
              <w:t>Less: Current portion (included in other current liabilities)</w:t>
            </w:r>
          </w:p>
        </w:tc>
        <w:tc>
          <w:tcPr>
            <w:tcW w:w="60" w:type="dxa"/>
            <w:tcBorders/>
            <w:shd w:fill="CCEEFF" w:val="clear"/>
            <w:vAlign w:val="bottom"/>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(9,064</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vAlign w:val="bottom"/>
          </w:tcPr>
          <w:p>
            <w:pPr>
              <w:pStyle w:val="TableContents"/>
              <w:bidi w:val="0"/>
              <w:spacing w:before="0" w:after="0"/>
              <w:ind w:left="734" w:right="0" w:hanging="0"/>
              <w:jc w:val="left"/>
              <w:rPr>
                <w:rFonts w:ascii="Times New Roman;Times;serif" w:hAnsi="Times New Roman;Times;serif"/>
                <w:sz w:val="20"/>
              </w:rPr>
            </w:pPr>
            <w:r>
              <w:rPr>
                <w:rFonts w:ascii="Times New Roman;Times;serif" w:hAnsi="Times New Roman;Times;serif"/>
                <w:sz w:val="20"/>
              </w:rPr>
              <w:t>Total long-term lease liabilities</w:t>
            </w:r>
          </w:p>
        </w:tc>
        <w:tc>
          <w:tcPr>
            <w:tcW w:w="60" w:type="dxa"/>
            <w:tcBorders/>
            <w:vAlign w:val="bottom"/>
          </w:tcPr>
          <w:p>
            <w:pPr>
              <w:pStyle w:val="TableContents"/>
              <w:bidi w:val="0"/>
              <w:spacing w:before="0" w:after="283"/>
              <w:jc w:val="left"/>
              <w:rPr/>
            </w:pPr>
            <w:r>
              <w:rPr/>
              <w:t> </w:t>
            </w:r>
          </w:p>
        </w:tc>
        <w:tc>
          <w:tcPr>
            <w:tcW w:w="228"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161,805</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Rent expense was $23.2 million, $23.1 million and $8.3 million for the years ended December 31, 2024, 2023 and 2022, respectively. </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Royalty Revenue Monetization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January 2023, we entered into a royalty purchase agreement with Royalty Pharma Investments, or Royalty Pharma, to monetize a portion of our future SPINRAZA and pelacarsen royalties we are entitled to under our agreements with Biogen and Novartis, respectively. As a result, we received an upfront payment of $500 million and we are eligible to receive up to $625 million in additional milestone payments. Under the terms of the agreement, Royalty Pharma will receive 25 percent of our SPINRAZA royalty payments from 2023 through 2027, increasing to 45 percent of royalty payments in 2028, on up to $1.5 billion in annual sales. In addition, Royalty Pharma will receive 25 percent of any future royalty payments on pelacarsen. Royalty Pharma’s royalty interest in SPINRAZA will revert to us after total SPINRAZA royalty payments to Royalty Pharma reach either $475 million or $550 million, depending on the timing and occurrence of FDA approval of pelacarsen.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recorded the upfront payment of $500 million as a liability related to the sale of future royalties, net of transaction costs of $10.4 million, which we are amortizing over the estimated life of the arrangement using the effective interest rate method. We recognize royalty revenue in the period in which the counterparty sells the related product and recognizes the related revenue. We record royalty payments made to Royalty Pharma as a reduction of the liability.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determine the effective interest rate used to record interest expense under this agreement based on an estimate of future royalty payments to Royalty Pharma. As of December 31, 2024 and 2023, the estimated effective interest rate under the agreement was 13.5 percent.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is a summary of our liability related to sale of future royalties for the year ended December 31, 2024 (in thousands):</w:t>
      </w:r>
    </w:p>
    <w:p>
      <w:pPr>
        <w:pStyle w:val="TextBody"/>
        <w:bidi w:val="0"/>
        <w:spacing w:before="0" w:after="0"/>
        <w:jc w:val="left"/>
        <w:rPr/>
      </w:pPr>
      <w:r>
        <w:rPr/>
      </w:r>
    </w:p>
    <w:tbl>
      <w:tblPr>
        <w:tblW w:w="6695" w:type="dxa"/>
        <w:jc w:val="left"/>
        <w:tblInd w:w="0" w:type="dxa"/>
        <w:tblLayout w:type="fixed"/>
        <w:tblCellMar>
          <w:top w:w="0" w:type="dxa"/>
          <w:left w:w="0" w:type="dxa"/>
          <w:bottom w:w="0" w:type="dxa"/>
          <w:right w:w="0" w:type="dxa"/>
        </w:tblCellMar>
      </w:tblPr>
      <w:tblGrid>
        <w:gridCol w:w="5720"/>
        <w:gridCol w:w="60"/>
        <w:gridCol w:w="125"/>
        <w:gridCol w:w="695"/>
        <w:gridCol w:w="95"/>
      </w:tblGrid>
      <w:tr>
        <w:trPr/>
        <w:tc>
          <w:tcPr>
            <w:tcW w:w="57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Proceeds from sale of future royalties in January 2023</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500,000</w:t>
            </w:r>
          </w:p>
        </w:tc>
        <w:tc>
          <w:tcPr>
            <w:tcW w:w="95" w:type="dxa"/>
            <w:tcBorders/>
            <w:shd w:fill="CCEEFF" w:val="clear"/>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Issuance costs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(10,434</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Royalty payments to Royalty Pharma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(44,628</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expense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68,238</w:t>
            </w:r>
          </w:p>
        </w:tc>
        <w:tc>
          <w:tcPr>
            <w:tcW w:w="9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Amortization of issuance costs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 liability related to sale of future royalties as of December 31, 2023</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513,736</w:t>
            </w:r>
          </w:p>
        </w:tc>
        <w:tc>
          <w:tcPr>
            <w:tcW w:w="9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Royalty payments to Royalty Pharma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(44,981</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72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Interest expense related to sale of future royalties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72,846</w:t>
            </w:r>
          </w:p>
        </w:tc>
        <w:tc>
          <w:tcPr>
            <w:tcW w:w="9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Amortization of issuance costs related to sale of future royalties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611</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5720" w:type="dxa"/>
            <w:tcBorders/>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Net liability related to sale of future royalties as of December 31, 2024</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542,212</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numerous factors, most of which are not within our control, that could materially impact the amount and timing of royalty payments from Biogen and Novartis, and result in changes to our estimate of future royalty payments to Royalty Pharma. Such factors include, but are not limited to, the commercial sales of SPINRAZA, the regulatory approval and commercial sales of pelacarsen, competing products or other significant events.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F-36</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8. Stockholders</w:t>
      </w:r>
      <w:r>
        <w:rPr>
          <w:rFonts w:ascii="Times New Roman;Times;serif" w:hAnsi="Times New Roman;Times;serif"/>
          <w:color w:val="000000"/>
          <w:sz w:val="20"/>
        </w:rPr>
        <w:t xml:space="preserve">’ </w:t>
      </w:r>
      <w:r>
        <w:rPr>
          <w:rFonts w:ascii="Times New Roman;Times;serif" w:hAnsi="Times New Roman;Times;serif"/>
          <w:b/>
          <w:color w:val="000000"/>
          <w:sz w:val="20"/>
        </w:rPr>
        <w:t>Equity</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Preferred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authorized to issue up to 15 million shares of “blank check” Preferred Stock. As of December 31, 2024, there were no shares of Preferred Stock outstanding. We have designated Series C Junior Participating Preferred Stock but have no issued or outstanding shares as of December 31, 2024.</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2024 and 2023, we had 300 million shares of common stock authorized, of which 157.9 million and 144.3 million were issued and outstanding, respectively. As of December 31, 2024, total common shares reserved for future issuance were 48.0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During the years ended December 31, 2024, 2023 and 2022, we issued 2.1 million, 2.3 million and 1.2 million shares of common stock, respectively, for stock option exercises, vesting of restricted stock units, and ESPP purchases. We received net proceeds from these transactions of $33.6 million, $49.4 million and $6.4 million in 2024, 2023 and 2022,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September 2024, we completed the sale of 11.5 million shares of our common stock through a public offering at a price of $43.50 per share. We received net proceeds of $489.1 million from the sale of these shares net of underwriting discounts and commissions and other offering expenses of $11.2 million.</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Stock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1989 Stock Option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1989, our Board of Directors adopted, and the stockholders subsequently approved, a stock option plan that, as amended, provides for the issuance of non-qualified and incentive stock options for the purchase of up to 20.0 million shares of common stock to our employees, directors, and consultants. The plan expired in January 2024. The 1989 Stock Option Plan, or 1989 Plan, did not allow us to grant stock bonuses or restricted stock awards and prohibited us from repricing any options outstanding under the plan unless our stockholders approved the repricing. Options vested over a four-year period, with 25 percent exercisable at the end of one year from the date of the grant and the balance vested ratably, on a monthly basis, thereafter and had a term of seven years. At December 31, 2024, no options were outstanding and no shares were available for future grant under the 1989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2011 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2011, our Board of Directors adopted, and the stockholders subsequently approved, a stock option plan that provides for the issuance of stock options, stock appreciation rights, restricted stock awards, restricted stock unit awards, and performance cash awards to our employees, directors, and consultants. In June 2015, May 2017 and June 2019, after receiving approval from our stockholders, we amended our 2011 Equity Incentive Plan, or 2011 Plan, to increase the total number of shares reserved for issuance. We increased the shares available under our 2011 Equity Incentive Plan from 5.5 million to 11.0 million in June 2015, from 11.0 million to 16.0 million in May 2017 and from 16.0 million to 23.0 million in June 2019. In June 2021, after receiving approval from our stockholders, we amended our 2011 Plan. The amendment increased the total number of shares of common stock authorized for issuance under the 2011 Plan from 23.0 million to 29.7 million and added a fungible share counting ratio whereby the share reserve will be reduced by 1.7 shares for each share of common stock issued pursuant to a full value award (i.e., RSU or PRSU) and increased by 1.7 shares for each share of common stock returning from a full value award. In June 2023, after receiving approval from our stockholders, we amended our 2011 Plan to increase the total number of shares of common stock authorized for issuance under the 2011 Plan from 29.7 million to 35.2 million. In June 2024, after receiving approval from our stockholders, we amended our 2011 Plan to increase the total number of shares of common stock authorized for issuance under the 2011 Plan from 35.2 million to 38.5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plan expires in June 2031. The 2011 Plan does not allow us to reduce the exercise price of any outstanding stock options or stock appreciation rights or cancel any outstanding stock options or stock appreciation rights that have an exercise price or strike price greater than the current fair market value of the common stock in exchange for cash or other stock awards unless our stockholders approve such action. Currently we anticipate awarding only stock options, RSU and PRSU awards to our employees, directors and consultants. Options vest over a four-year period, with 25 percent exercisable at the end of one year from the date of the grant and the balance vesting ratably, on a monthly basis, thereafter and have a term of seven years. Options granted after December 31, 2021 have a term of ten years. We have granted restricted stock unit awards to our employees under the 2011 Plan which vest annually over a four-year period. At December 31, 2024, a total of 13.3 million options were outstanding, of which 9.0 million were exercisable, 3.9 million restricted stock unit awards were outstanding, and 7.3 million shares were available for future grant under the 2011 Plan.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F-37</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2011 Plan, we may issue a stock award with additional acceleration of vesting and exercisability upon or after a change in control. In the absence of such provisions, no such acceleration will occur. In addition, we implemented a change of control and severance benefit plan that provides for change of control and severance benefits to our executive officers, including our chief executive officer and chief financial officer, and vice presidents. If one of our executive officers or vice presidents is terminated or resigns for good reason during the period that begins three months before and ends twelve months following a change in control of the company, the impacted employee’s stock options and RSUs vesting will accelerate for options and RSUs outstanding as of the termination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2020 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Akcea Merger in 2020, we assumed the unallocated portion of the available share reserve under the Akcea 2015 Equity Incentive Plan. In 2020, we amended and restated the Akcea 2015 equity plan, including renaming the plan as the Ionis Pharmaceuticals, Inc. 2020 Equity Incentive Plan, or 2020 Plan. The 2020 Plan provided for the issuance of up to 2.6 million shares of our Common Stock to our employees, directors and consultants who were employees of Akcea prior to the Akcea Merger. In the second quarter of 2021, our Compensation Committee approved an amendment to the 2020 Plan. The amendment decreased the total number of shares of common stock authorized for issuance under the 2020 Plan from approximately 2.6 million to 1.6 million. We assumed the 2020 Plan in connection with Ionis’ reacquisition of all of the outstanding shares of Akcea Therapeutics, Inc. as part of the Akcea Merger.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plan expires in December 2025. The 2020 Plan does not allow us to reduce the exercise price of any outstanding stock options or stock appreciation rights or cancel any outstanding stock options or stock appreciation rights that have an exercise price or strike price greater than the current fair market value of the common stock in exchange for cash or other stock awards unless our stockholders approve such action. Currently we anticipate awarding only stock options and RSU awards to our eligible employees, directors and consultants. Options vest over a four-year period, with 25 percent exercisable at the end of one year from the date of the grant and the balance vesting ratably, on a monthly basis, thereafter and have a term of seven years. Options granted after December 31, 2021 have a term of ten years. We have granted restricted stock unit awards to our employees under the 2020 Plan which vest annually over a four-year period. At December 31, 2024, a total of 0.5 million options were outstanding, of which 0.2 million were exercisable, 0.2 million restricted stock unit awards were outstanding, and 0.8 million shares were available for future grant under the 2020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Under the 2020 Plan, we may issue a stock award with additional acceleration of vesting and exercisability upon or after a change in control. In the absence of such provisions, no such acceleration will occur.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Corporate Transactions and Change in Control under 2011 and 2020 Plans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the event of certain significant corporate transactions, our Board of Directors has the discretion to take one or more of the following actions with respect to outstanding stock awards under the 2011 and 2020 Plans: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assumption, continuation, or substitution of a stock award by a surviving or acquiring entity (or its parent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assignment of any reacquisition or repurchase rights applicable to any shares of our common stock issued pursuant to a stock award to the surviving or acquiring corporation (or its parent company);</w:t>
            </w:r>
          </w:p>
        </w:tc>
      </w:tr>
    </w:tbl>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accelerate the vesting and exercisability of a stock award followed by the termination of the stock award;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lapse of any reacquisition or repurchase rights applicable to any shares of our common stock issued pursuant to a stock award;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cancel or arrange for the cancellation of a stock award, to the extent not vested or not exercised prior to the effective date of the corporate transaction, in exchange for cash consideration, if any, as the Board, in its sole discretion, may consider appropriate;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arrange for the surrender of a stock award in exchange for a payment equal to the excess of (a) the value of the property the holder of the stock award would have received upon the exercise of the stock award, over (b) any exercise price payable by such holder in connection with such exercise.</w:t>
            </w:r>
          </w:p>
        </w:tc>
      </w:tr>
    </w:tbl>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F-38</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2002 Non-Employee Directors’ Stock Option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2001, our Board of Directors adopted, and the stockholders subsequently approved, an amendment and restatement of the 1992 Non-Employee Directors’ Stock Option Plan, which provides for the issuance of non-qualified stock options and restricted stock units to our non-employee directors. The name of the resulting plan is the 2002 Non-Employee Directors’ Stock Option Plan, or the 2002 Plan. In 2015, after receiving approval from our stockholders, we amended our 2002 Plan to increase the total number of shares reserved for issuance from 1.2 million to 2.0 million. In 2020, after receiving approval from our stockholders, we further amended our 2002 Plan. The amendments included:</w:t>
      </w:r>
    </w:p>
    <w:p>
      <w:pPr>
        <w:pStyle w:val="TextBody"/>
        <w:bidi w:val="0"/>
        <w:spacing w:before="0" w:after="0"/>
        <w:jc w:val="left"/>
        <w:rPr/>
      </w:pPr>
      <w:r>
        <w:rPr/>
      </w:r>
    </w:p>
    <w:tbl>
      <w:tblPr>
        <w:tblW w:w="9588" w:type="dxa"/>
        <w:jc w:val="left"/>
        <w:tblInd w:w="0" w:type="dxa"/>
        <w:tblLayout w:type="fixed"/>
        <w:tblCellMar>
          <w:top w:w="0" w:type="dxa"/>
          <w:left w:w="0" w:type="dxa"/>
          <w:bottom w:w="0" w:type="dxa"/>
          <w:right w:w="0" w:type="dxa"/>
        </w:tblCellMar>
      </w:tblPr>
      <w:tblGrid>
        <w:gridCol w:w="38"/>
        <w:gridCol w:w="17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increase to the total number of shares reserved for issuance under the plan from 2.0 million to 2.8 million shares;</w:t>
            </w:r>
          </w:p>
        </w:tc>
      </w:tr>
    </w:tbl>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reduction to the amount of the automatic awards under the plan;</w:t>
            </w:r>
          </w:p>
        </w:tc>
      </w:tr>
    </w:tbl>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 revision to the vesting schedule of new awards granted; and</w:t>
            </w:r>
          </w:p>
        </w:tc>
      </w:tr>
    </w:tbl>
    <w:tbl>
      <w:tblPr>
        <w:tblW w:w="3198" w:type="dxa"/>
        <w:jc w:val="left"/>
        <w:tblInd w:w="0" w:type="dxa"/>
        <w:tblLayout w:type="fixed"/>
        <w:tblCellMar>
          <w:top w:w="0" w:type="dxa"/>
          <w:left w:w="0" w:type="dxa"/>
          <w:bottom w:w="0" w:type="dxa"/>
          <w:right w:w="0" w:type="dxa"/>
        </w:tblCellMar>
      </w:tblPr>
      <w:tblGrid>
        <w:gridCol w:w="38"/>
        <w:gridCol w:w="17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 extension of the term of the plan.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Options under this plan expire 10 years from the date of grant. At December 31, 2024, a total of 0.9 million options were outstanding, of which 0.8 million were exercisable, 52,000 restricted stock unit awards were outstanding, and 0.4 million shares were available for future grant under the 2002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080" w:right="0" w:hanging="360"/>
        <w:jc w:val="both"/>
        <w:rPr>
          <w:rFonts w:ascii="Times New Roman;Times;serif" w:hAnsi="Times New Roman;Times;serif"/>
          <w:i/>
          <w:color w:val="000000"/>
          <w:sz w:val="20"/>
        </w:rPr>
      </w:pPr>
      <w:r>
        <w:rPr>
          <w:rFonts w:ascii="Times New Roman;Times;serif" w:hAnsi="Times New Roman;Times;serif"/>
          <w:i/>
          <w:color w:val="000000"/>
          <w:sz w:val="20"/>
        </w:rPr>
        <w:t>Employee Stock Purchase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2009, our Board of Directors adopted, and the stockholders subsequently approved, the amendment and restatement of the ESPP and we reserved an additional 150,000 shares of common stock for issuance thereunder. In each of the subsequent years until 2019, we reserved an additional 150,000 shares of common stock for the ESPP resulting in a total of 3.2 million shares authorized under the plan as of December 31, 2024. The ESPP permits full-time employees to purchase common stock through payroll deductions (which cannot exceed 10 percent of each employee’s compensation) at the lower of 85 percent of fair market value at the beginning of the purchase period or the end of each purchase period. Under the amended and restated ESPP, employees must hold the stock they purchase for a minimum of six months from the date of purchase. During 2024, employees purchased and we issued to employees 0.1 million shares under the ESPP at a weighted average price of $35.93 per share. At December 31, 2024, there were 0.3 million shares available for purchase under the ESPP.</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Stock Option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stock option activity under our stock plans for the year ended December 31, 2024 (in thousands, except per share and contractual life data):</w:t>
      </w:r>
    </w:p>
    <w:p>
      <w:pPr>
        <w:pStyle w:val="TextBody"/>
        <w:bidi w:val="0"/>
        <w:spacing w:before="0" w:after="0"/>
        <w:jc w:val="left"/>
        <w:rPr/>
      </w:pPr>
      <w:r>
        <w:rPr/>
      </w:r>
    </w:p>
    <w:tbl>
      <w:tblPr>
        <w:tblW w:w="8157" w:type="dxa"/>
        <w:jc w:val="left"/>
        <w:tblInd w:w="0" w:type="dxa"/>
        <w:tblLayout w:type="fixed"/>
        <w:tblCellMar>
          <w:top w:w="0" w:type="dxa"/>
          <w:left w:w="0" w:type="dxa"/>
          <w:bottom w:w="0" w:type="dxa"/>
          <w:right w:w="0" w:type="dxa"/>
        </w:tblCellMar>
      </w:tblPr>
      <w:tblGrid>
        <w:gridCol w:w="2855"/>
        <w:gridCol w:w="60"/>
        <w:gridCol w:w="73"/>
        <w:gridCol w:w="726"/>
        <w:gridCol w:w="80"/>
        <w:gridCol w:w="60"/>
        <w:gridCol w:w="311"/>
        <w:gridCol w:w="1208"/>
        <w:gridCol w:w="60"/>
        <w:gridCol w:w="60"/>
        <w:gridCol w:w="212"/>
        <w:gridCol w:w="1352"/>
        <w:gridCol w:w="60"/>
        <w:gridCol w:w="60"/>
        <w:gridCol w:w="185"/>
        <w:gridCol w:w="720"/>
        <w:gridCol w:w="75"/>
      </w:tblGrid>
      <w:tr>
        <w:trPr/>
        <w:tc>
          <w:tcPr>
            <w:tcW w:w="28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 Exercise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Price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Remaining</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Contractual Term</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Aggregate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Intrinsic</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Outstanding at December 31, 2023</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Cancelled/forfeited/expired</w:t>
            </w:r>
          </w:p>
        </w:tc>
        <w:tc>
          <w:tcPr>
            <w:tcW w:w="60" w:type="dxa"/>
            <w:tcBorders/>
            <w:vAlign w:val="bottom"/>
          </w:tcPr>
          <w:p>
            <w:pPr>
              <w:pStyle w:val="TableContents"/>
              <w:bidi w:val="0"/>
              <w:spacing w:before="0" w:after="283"/>
              <w:jc w:val="lef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726"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(1,704</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Outstanding at December 31, 2024</w:t>
            </w:r>
          </w:p>
        </w:tc>
        <w:tc>
          <w:tcPr>
            <w:tcW w:w="60" w:type="dxa"/>
            <w:tcBorders/>
            <w:shd w:fill="CCEEFF" w:val="clear"/>
            <w:vAlign w:val="bottom"/>
          </w:tcPr>
          <w:p>
            <w:pPr>
              <w:pStyle w:val="TableContents"/>
              <w:bidi w:val="0"/>
              <w:spacing w:before="0" w:after="283"/>
              <w:jc w:val="left"/>
              <w:rPr/>
            </w:pPr>
            <w:r>
              <w:rPr/>
              <w:t> </w:t>
            </w:r>
          </w:p>
        </w:tc>
        <w:tc>
          <w:tcPr>
            <w:tcW w:w="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2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48.23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4,692</w:t>
            </w:r>
          </w:p>
        </w:tc>
        <w:tc>
          <w:tcPr>
            <w:tcW w:w="75"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Exercisable at December 31, 2024</w:t>
            </w:r>
          </w:p>
        </w:tc>
        <w:tc>
          <w:tcPr>
            <w:tcW w:w="60" w:type="dxa"/>
            <w:tcBorders/>
            <w:vAlign w:val="bottom"/>
          </w:tcPr>
          <w:p>
            <w:pPr>
              <w:pStyle w:val="TableContents"/>
              <w:bidi w:val="0"/>
              <w:spacing w:before="0" w:after="283"/>
              <w:jc w:val="left"/>
              <w:rPr/>
            </w:pPr>
            <w:r>
              <w:rPr/>
              <w:t> </w:t>
            </w:r>
          </w:p>
        </w:tc>
        <w:tc>
          <w:tcPr>
            <w:tcW w:w="73" w:type="dxa"/>
            <w:tcBorders>
              <w:bottom w:val="double" w:sz="8" w:space="0" w:color="000000"/>
            </w:tcBorders>
            <w:tcMar>
              <w:bottom w:w="28" w:type="dxa"/>
            </w:tcMar>
            <w:vAlign w:val="bottom"/>
          </w:tcPr>
          <w:p>
            <w:pPr>
              <w:pStyle w:val="TableContents"/>
              <w:bidi w:val="0"/>
              <w:spacing w:before="0" w:after="283"/>
              <w:jc w:val="left"/>
              <w:rPr/>
            </w:pPr>
            <w:r>
              <w:rPr/>
              <w:t> </w:t>
            </w:r>
          </w:p>
        </w:tc>
        <w:tc>
          <w:tcPr>
            <w:tcW w:w="726"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0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2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3,460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weighted-average estimated fair values of options granted were $24.37, $19.72 and $18.66 for the years ended December 31, 2024, 2023 and 2022, respectively. The total intrinsic value of options exercised during the years ended December 31, 2024, 2023 and 2022 were $3.6 million, $6.0 million and $1.4 million, respectively, which we determined as of the date of exercise. The amount of cash received from the exercise of stock options was $15.8 million, $65.1 million and $3.6 million for the years ended December 31, 2024, 2023 and 2022, respectively. For the year ended December 31, 2024, the weighted-average fair value of options exercised was $48.59. As of December 31, 2024, total unrecognized compensation cost related to non-vested stock options was $43.7 million. We expect to recognize this cost over a weighted average period of 1.1 years. We will adjust the total unrecognized compensation cost for future changes in estimated forfeitures.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F-39</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Restricted Stock Unit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RSU activity for the year ended December 31, 2024 (in thousands, except per share data):</w:t>
      </w:r>
    </w:p>
    <w:p>
      <w:pPr>
        <w:pStyle w:val="TextBody"/>
        <w:bidi w:val="0"/>
        <w:spacing w:before="0" w:after="0"/>
        <w:jc w:val="left"/>
        <w:rPr/>
      </w:pPr>
      <w:r>
        <w:rPr/>
      </w:r>
    </w:p>
    <w:tbl>
      <w:tblPr>
        <w:tblW w:w="5448" w:type="dxa"/>
        <w:jc w:val="left"/>
        <w:tblInd w:w="0" w:type="dxa"/>
        <w:tblLayout w:type="fixed"/>
        <w:tblCellMar>
          <w:top w:w="0" w:type="dxa"/>
          <w:left w:w="0" w:type="dxa"/>
          <w:bottom w:w="0" w:type="dxa"/>
          <w:right w:w="0" w:type="dxa"/>
        </w:tblCellMar>
      </w:tblPr>
      <w:tblGrid>
        <w:gridCol w:w="2780"/>
        <w:gridCol w:w="60"/>
        <w:gridCol w:w="78"/>
        <w:gridCol w:w="721"/>
        <w:gridCol w:w="80"/>
        <w:gridCol w:w="60"/>
        <w:gridCol w:w="326"/>
        <w:gridCol w:w="1268"/>
        <w:gridCol w:w="75"/>
      </w:tblGrid>
      <w:tr>
        <w:trPr/>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Grant Date Fair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 Per Share</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2023</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43.40</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2,005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50.92</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46.88</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Cancelled/forfeited</w:t>
            </w:r>
          </w:p>
        </w:tc>
        <w:tc>
          <w:tcPr>
            <w:tcW w:w="60" w:type="dxa"/>
            <w:tcBorders/>
            <w:vAlign w:val="bottom"/>
          </w:tcPr>
          <w:p>
            <w:pPr>
              <w:pStyle w:val="TableContents"/>
              <w:bidi w:val="0"/>
              <w:spacing w:before="0" w:after="283"/>
              <w:jc w:val="left"/>
              <w:rPr/>
            </w:pPr>
            <w:r>
              <w:rPr/>
              <w:t> </w:t>
            </w:r>
          </w:p>
        </w:tc>
        <w:tc>
          <w:tcPr>
            <w:tcW w:w="7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46.83</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2024</w:t>
            </w:r>
          </w:p>
        </w:tc>
        <w:tc>
          <w:tcPr>
            <w:tcW w:w="60" w:type="dxa"/>
            <w:tcBorders/>
            <w:shd w:fill="CCEEFF" w:val="clear"/>
            <w:vAlign w:val="bottom"/>
          </w:tcPr>
          <w:p>
            <w:pPr>
              <w:pStyle w:val="TableContents"/>
              <w:bidi w:val="0"/>
              <w:spacing w:before="0" w:after="283"/>
              <w:jc w:val="left"/>
              <w:rPr/>
            </w:pPr>
            <w:r>
              <w:rPr/>
              <w:t> </w:t>
            </w:r>
          </w:p>
        </w:tc>
        <w:tc>
          <w:tcPr>
            <w:tcW w:w="7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2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2024, 2023 and 2022, the weighted-average grant date fair value of RSUs granted was $50.92, $40.51 and $36.14 per RSU, respectively. As of December 31, 2024, total unrecognized compensation cost related to RSUs was $72.6 million. We expect to recognize this cost over a weighted average period of 1.3 years. We will adjust the total unrecognized compensation cost for future changes in estimated forfeitures.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Performance Restricted Stock Unit Activity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PRSU activity for the year ended December 31, 2024 (in thousands, except per share data):</w:t>
      </w:r>
    </w:p>
    <w:p>
      <w:pPr>
        <w:pStyle w:val="TextBody"/>
        <w:bidi w:val="0"/>
        <w:spacing w:before="0" w:after="0"/>
        <w:jc w:val="left"/>
        <w:rPr/>
      </w:pPr>
      <w:r>
        <w:rPr/>
      </w:r>
    </w:p>
    <w:tbl>
      <w:tblPr>
        <w:tblW w:w="5448" w:type="dxa"/>
        <w:jc w:val="left"/>
        <w:tblInd w:w="0" w:type="dxa"/>
        <w:tblLayout w:type="fixed"/>
        <w:tblCellMar>
          <w:top w:w="0" w:type="dxa"/>
          <w:left w:w="0" w:type="dxa"/>
          <w:bottom w:w="0" w:type="dxa"/>
          <w:right w:w="0" w:type="dxa"/>
        </w:tblCellMar>
      </w:tblPr>
      <w:tblGrid>
        <w:gridCol w:w="2780"/>
        <w:gridCol w:w="60"/>
        <w:gridCol w:w="120"/>
        <w:gridCol w:w="679"/>
        <w:gridCol w:w="80"/>
        <w:gridCol w:w="60"/>
        <w:gridCol w:w="326"/>
        <w:gridCol w:w="1268"/>
        <w:gridCol w:w="75"/>
      </w:tblGrid>
      <w:tr>
        <w:trPr/>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Number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Weighted Average</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Grant Date Fair</w:t>
            </w:r>
          </w:p>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Value Per Share</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56.04</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Granted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7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78.41</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7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53.35</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360" w:right="0" w:hanging="180"/>
              <w:jc w:val="both"/>
              <w:rPr>
                <w:rFonts w:ascii="Times New Roman;Times;serif" w:hAnsi="Times New Roman;Times;serif"/>
                <w:sz w:val="20"/>
              </w:rPr>
            </w:pPr>
            <w:r>
              <w:rPr>
                <w:rFonts w:ascii="Times New Roman;Times;serif" w:hAnsi="Times New Roman;Times;serif"/>
                <w:sz w:val="20"/>
              </w:rPr>
              <w:t>Cancelled/forfeited</w:t>
            </w:r>
          </w:p>
        </w:tc>
        <w:tc>
          <w:tcPr>
            <w:tcW w:w="60" w:type="dxa"/>
            <w:tcBorders/>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679"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68.21</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Non-vested at December 31, 2024</w:t>
            </w:r>
          </w:p>
        </w:tc>
        <w:tc>
          <w:tcPr>
            <w:tcW w:w="60" w:type="dxa"/>
            <w:tcBorders/>
            <w:shd w:fill="CCEEFF" w:val="clear"/>
            <w:vAlign w:val="bottom"/>
          </w:tcPr>
          <w:p>
            <w:pPr>
              <w:pStyle w:val="TableContents"/>
              <w:bidi w:val="0"/>
              <w:spacing w:before="0" w:after="283"/>
              <w:jc w:val="left"/>
              <w:rPr/>
            </w:pPr>
            <w:r>
              <w:rPr/>
              <w:t> </w:t>
            </w:r>
          </w:p>
        </w:tc>
        <w:tc>
          <w:tcPr>
            <w:tcW w:w="1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66.72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2024, 2023 and 2022, the weighted-average grant date fair value of PRSUs granted was $78.41, $57.43 and $42.28 per PRSU, respectively. As of December 31, 2024, total unrecognized compensation cost related to PRSUs was $10.4 million. We expect to recognize this cost over a weighted average period of 1.4 years. We will adjust the total unrecognized compensation cost for future changes in estimated forfeitures.</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Stock-based Compensation Expense and Valuation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stock-based compensation expense for the years ended December 31, 2024, 2023 and 2022 (in thousands):</w:t>
      </w:r>
    </w:p>
    <w:p>
      <w:pPr>
        <w:pStyle w:val="TextBody"/>
        <w:bidi w:val="0"/>
        <w:spacing w:before="0" w:after="0"/>
        <w:jc w:val="left"/>
        <w:rPr/>
      </w:pPr>
      <w:r>
        <w:rPr/>
      </w:r>
    </w:p>
    <w:tbl>
      <w:tblPr>
        <w:tblW w:w="7985" w:type="dxa"/>
        <w:jc w:val="left"/>
        <w:tblInd w:w="0" w:type="dxa"/>
        <w:tblLayout w:type="fixed"/>
        <w:tblCellMar>
          <w:top w:w="0" w:type="dxa"/>
          <w:left w:w="0" w:type="dxa"/>
          <w:bottom w:w="0" w:type="dxa"/>
          <w:right w:w="0" w:type="dxa"/>
        </w:tblCellMar>
      </w:tblPr>
      <w:tblGrid>
        <w:gridCol w:w="5150"/>
        <w:gridCol w:w="60"/>
        <w:gridCol w:w="125"/>
        <w:gridCol w:w="695"/>
        <w:gridCol w:w="60"/>
        <w:gridCol w:w="60"/>
        <w:gridCol w:w="125"/>
        <w:gridCol w:w="695"/>
        <w:gridCol w:w="60"/>
        <w:gridCol w:w="60"/>
        <w:gridCol w:w="125"/>
        <w:gridCol w:w="695"/>
        <w:gridCol w:w="75"/>
      </w:tblGrid>
      <w:tr>
        <w:trPr/>
        <w:tc>
          <w:tcPr>
            <w:tcW w:w="51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Cost of sales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533</w:t>
            </w:r>
          </w:p>
        </w:tc>
        <w:tc>
          <w:tcPr>
            <w:tcW w:w="75"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Research, development and patent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92,403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77,826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73,704</w:t>
            </w:r>
          </w:p>
        </w:tc>
        <w:tc>
          <w:tcPr>
            <w:tcW w:w="75"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26,027</w:t>
            </w:r>
          </w:p>
        </w:tc>
        <w:tc>
          <w:tcPr>
            <w:tcW w:w="75"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Stock-based compensation expense, net of amounts capitalized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75" w:type="dxa"/>
            <w:tcBorders/>
            <w:vAlign w:val="bottom"/>
          </w:tcPr>
          <w:p>
            <w:pPr>
              <w:pStyle w:val="TableContents"/>
              <w:bidi w:val="0"/>
              <w:spacing w:before="0" w:after="283"/>
              <w:jc w:val="left"/>
              <w:rPr/>
            </w:pPr>
            <w:r>
              <w:rPr/>
              <w:t> </w:t>
            </w:r>
          </w:p>
        </w:tc>
      </w:tr>
      <w:tr>
        <w:trPr/>
        <w:tc>
          <w:tcPr>
            <w:tcW w:w="515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Capitalized stock-based compensation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515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stock-based compensation expense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100,264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Stock-based compensation expense increased in 2024 compared to 2023 due to increased headcount and a higher stock price on the grant date of annual equity awards in 2024 compared to 2023. Refer to Note 1, </w:t>
      </w:r>
      <w:r>
        <w:rPr>
          <w:rFonts w:ascii="Times New Roman;Times;serif" w:hAnsi="Times New Roman;Times;serif"/>
          <w:i/>
          <w:color w:val="000000"/>
          <w:sz w:val="20"/>
        </w:rPr>
        <w:t>Organization and Significant Accounting Policies</w:t>
      </w:r>
      <w:r>
        <w:rPr>
          <w:rFonts w:ascii="Times New Roman;Times;serif" w:hAnsi="Times New Roman;Times;serif"/>
          <w:color w:val="000000"/>
          <w:sz w:val="20"/>
        </w:rPr>
        <w:t>, for further details on how we determine the fair value of stock options granted, RSUs, PRSUs and stock purchase rights under the ESPP.</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F-40</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For the years ended December 31, 2024, 2023 and 2022, we used the following weighted-average assumptions in our Black-Scholes calculations: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Employee Stock Options:</w:t>
      </w:r>
    </w:p>
    <w:p>
      <w:pPr>
        <w:pStyle w:val="TextBody"/>
        <w:bidi w:val="0"/>
        <w:spacing w:before="0" w:after="0"/>
        <w:jc w:val="left"/>
        <w:rPr/>
      </w:pPr>
      <w:r>
        <w:rPr/>
      </w:r>
    </w:p>
    <w:tbl>
      <w:tblPr>
        <w:tblW w:w="4837" w:type="dxa"/>
        <w:jc w:val="left"/>
        <w:tblInd w:w="0" w:type="dxa"/>
        <w:tblLayout w:type="fixed"/>
        <w:tblCellMar>
          <w:top w:w="0" w:type="dxa"/>
          <w:left w:w="0" w:type="dxa"/>
          <w:bottom w:w="0" w:type="dxa"/>
          <w:right w:w="0" w:type="dxa"/>
        </w:tblCellMar>
      </w:tblPr>
      <w:tblGrid>
        <w:gridCol w:w="1760"/>
        <w:gridCol w:w="60"/>
        <w:gridCol w:w="100"/>
        <w:gridCol w:w="639"/>
        <w:gridCol w:w="227"/>
        <w:gridCol w:w="73"/>
        <w:gridCol w:w="100"/>
        <w:gridCol w:w="639"/>
        <w:gridCol w:w="227"/>
        <w:gridCol w:w="73"/>
        <w:gridCol w:w="100"/>
        <w:gridCol w:w="639"/>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54.5</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6.3 years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i/>
          <w:color w:val="000000"/>
          <w:sz w:val="20"/>
        </w:rPr>
      </w:pPr>
      <w:r>
        <w:rPr>
          <w:rFonts w:ascii="Times New Roman;Times;serif" w:hAnsi="Times New Roman;Times;serif"/>
          <w:i/>
          <w:color w:val="000000"/>
          <w:sz w:val="20"/>
        </w:rPr>
        <w:t>Board of Director Stock Options:</w:t>
      </w:r>
    </w:p>
    <w:p>
      <w:pPr>
        <w:pStyle w:val="TextBody"/>
        <w:bidi w:val="0"/>
        <w:spacing w:before="0" w:after="0"/>
        <w:jc w:val="left"/>
        <w:rPr/>
      </w:pPr>
      <w:r>
        <w:rPr/>
      </w:r>
    </w:p>
    <w:tbl>
      <w:tblPr>
        <w:tblW w:w="4837" w:type="dxa"/>
        <w:jc w:val="left"/>
        <w:tblInd w:w="0" w:type="dxa"/>
        <w:tblLayout w:type="fixed"/>
        <w:tblCellMar>
          <w:top w:w="0" w:type="dxa"/>
          <w:left w:w="0" w:type="dxa"/>
          <w:bottom w:w="0" w:type="dxa"/>
          <w:right w:w="0" w:type="dxa"/>
        </w:tblCellMar>
      </w:tblPr>
      <w:tblGrid>
        <w:gridCol w:w="1760"/>
        <w:gridCol w:w="60"/>
        <w:gridCol w:w="100"/>
        <w:gridCol w:w="639"/>
        <w:gridCol w:w="227"/>
        <w:gridCol w:w="73"/>
        <w:gridCol w:w="100"/>
        <w:gridCol w:w="639"/>
        <w:gridCol w:w="227"/>
        <w:gridCol w:w="73"/>
        <w:gridCol w:w="100"/>
        <w:gridCol w:w="639"/>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1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56.2</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 years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 years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i/>
          <w:color w:val="000000"/>
          <w:sz w:val="20"/>
        </w:rPr>
      </w:pPr>
      <w:r>
        <w:rPr>
          <w:rFonts w:ascii="Times New Roman;Times;serif" w:hAnsi="Times New Roman;Times;serif"/>
          <w:i/>
          <w:color w:val="000000"/>
          <w:sz w:val="20"/>
        </w:rPr>
        <w:t>ESPP:</w:t>
      </w:r>
    </w:p>
    <w:p>
      <w:pPr>
        <w:pStyle w:val="TextBody"/>
        <w:bidi w:val="0"/>
        <w:spacing w:before="0" w:after="0"/>
        <w:jc w:val="left"/>
        <w:rPr/>
      </w:pPr>
      <w:r>
        <w:rPr/>
      </w:r>
    </w:p>
    <w:tbl>
      <w:tblPr>
        <w:tblW w:w="4927" w:type="dxa"/>
        <w:jc w:val="left"/>
        <w:tblInd w:w="0" w:type="dxa"/>
        <w:tblLayout w:type="fixed"/>
        <w:tblCellMar>
          <w:top w:w="0" w:type="dxa"/>
          <w:left w:w="0" w:type="dxa"/>
          <w:bottom w:w="0" w:type="dxa"/>
          <w:right w:w="0" w:type="dxa"/>
        </w:tblCellMar>
      </w:tblPr>
      <w:tblGrid>
        <w:gridCol w:w="1760"/>
        <w:gridCol w:w="60"/>
        <w:gridCol w:w="104"/>
        <w:gridCol w:w="665"/>
        <w:gridCol w:w="227"/>
        <w:gridCol w:w="73"/>
        <w:gridCol w:w="104"/>
        <w:gridCol w:w="665"/>
        <w:gridCol w:w="227"/>
        <w:gridCol w:w="73"/>
        <w:gridCol w:w="104"/>
        <w:gridCol w:w="665"/>
        <w:gridCol w:w="200"/>
      </w:tblGrid>
      <w:tr>
        <w:trPr/>
        <w:tc>
          <w:tcPr>
            <w:tcW w:w="17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07"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00" w:type="dxa"/>
            <w:tcBorders/>
            <w:vAlign w:val="bottom"/>
          </w:tcPr>
          <w:p>
            <w:pPr>
              <w:pStyle w:val="TableContents"/>
              <w:bidi w:val="0"/>
              <w:spacing w:before="0" w:after="283"/>
              <w:jc w:val="left"/>
              <w:rPr/>
            </w:pPr>
            <w:r>
              <w:rPr/>
              <w:t> </w:t>
            </w:r>
          </w:p>
        </w:tc>
      </w:tr>
      <w:tr>
        <w:trPr/>
        <w:tc>
          <w:tcPr>
            <w:tcW w:w="1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bottom"/>
          </w:tcPr>
          <w:p>
            <w:pPr>
              <w:pStyle w:val="TableContents"/>
              <w:bidi w:val="0"/>
              <w:spacing w:before="0" w:after="283"/>
              <w:jc w:val="left"/>
              <w:rPr/>
            </w:pPr>
            <w:r>
              <w:rPr/>
              <w:t> </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Dividend yield</w:t>
            </w:r>
          </w:p>
        </w:tc>
        <w:tc>
          <w:tcPr>
            <w:tcW w:w="60"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27"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0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37.8</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36.0</w:t>
            </w:r>
          </w:p>
        </w:tc>
        <w:tc>
          <w:tcPr>
            <w:tcW w:w="227"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50.1</w:t>
            </w:r>
          </w:p>
        </w:tc>
        <w:tc>
          <w:tcPr>
            <w:tcW w:w="20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176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Expected life</w:t>
            </w:r>
          </w:p>
        </w:tc>
        <w:tc>
          <w:tcPr>
            <w:tcW w:w="60"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2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 months</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Risk-Free Interest Rate.</w:t>
      </w:r>
      <w:r>
        <w:rPr>
          <w:rFonts w:ascii="Times New Roman;Times;serif" w:hAnsi="Times New Roman;Times;serif"/>
          <w:color w:val="000000"/>
          <w:sz w:val="20"/>
        </w:rPr>
        <w:t xml:space="preserve"> We base the risk-free interest rate assumption on observed interest rates appropriate for the term of our stock option plans or ESPP.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Dividend Yield.</w:t>
      </w:r>
      <w:r>
        <w:rPr>
          <w:rFonts w:ascii="Times New Roman;Times;serif" w:hAnsi="Times New Roman;Times;serif"/>
          <w:color w:val="000000"/>
          <w:sz w:val="20"/>
        </w:rPr>
        <w:t xml:space="preserve"> We base the dividend yield assumption on our history and expectation of dividend payouts. We have not paid dividends in the past and do not expect to in the future.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Volatility.</w:t>
      </w:r>
      <w:r>
        <w:rPr>
          <w:rFonts w:ascii="Times New Roman;Times;serif" w:hAnsi="Times New Roman;Times;serif"/>
          <w:color w:val="000000"/>
          <w:sz w:val="20"/>
        </w:rPr>
        <w:t xml:space="preserve"> We use an average of the historical stock price volatility of our stock for the Black-Scholes model. We computed the historical stock volatility based on the expected term of the awards.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 xml:space="preserve">Expected Life. </w:t>
      </w:r>
      <w:r>
        <w:rPr>
          <w:rFonts w:ascii="Times New Roman;Times;serif" w:hAnsi="Times New Roman;Times;serif"/>
          <w:color w:val="000000"/>
          <w:sz w:val="20"/>
        </w:rPr>
        <w:t>The expected term of stock options we have granted represents the period of time that we expect them to be outstanding. Historically, we estimated the expected term of options we have granted based on actual and projected exercise patterns. In 2021, our Compensation Committee approved an amendment to the 2011 Equity Incentive Plan, or 2011 Plan, and the 2020 Equity Incentive Plan, or 2020 Plan, that increased the contractual term of stock options granted under these plans from seven to ten years for stock options granted on January 1, 2022 and thereafter. We determined that we are unable to rely on our historical exercise data as a basis for estimating the expected life of stock options granted to employees following this change because the contractual term changed and we have no other means to reasonably estimate future exercise behavior. We therefore used the simplified method for determining the expected life of stock options granted to employees in the years ended December 31, 2024, 2023 and 2022. Under the simplified method, we calculate the expected term as the average of the time-to-vesting and the contractual life of the options. As we gain additional historical information, we will transition to calculating our expected term based on our historical exercise patterns.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i/>
          <w:color w:val="000000"/>
          <w:sz w:val="20"/>
        </w:rPr>
        <w:t>Forfeitures.</w:t>
      </w:r>
      <w:r>
        <w:rPr>
          <w:rFonts w:ascii="Times New Roman;Times;serif" w:hAnsi="Times New Roman;Times;serif"/>
          <w:color w:val="000000"/>
          <w:sz w:val="20"/>
        </w:rPr>
        <w:t xml:space="preserve"> We reduce stock-based compensation expense for estimated forfeitures. We estimate forfeitures at the time of grant and revise, if necessary, in subsequent periods if actual forfeitures differ from those estimates. We estimate forfeitures based on historical experience. </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F-41</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 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Loss before income taxes is comprised of (in thousands):</w:t>
      </w:r>
    </w:p>
    <w:p>
      <w:pPr>
        <w:pStyle w:val="TextBody"/>
        <w:bidi w:val="0"/>
        <w:spacing w:before="0" w:after="0"/>
        <w:jc w:val="left"/>
        <w:rPr/>
      </w:pPr>
      <w:r>
        <w:rPr/>
      </w:r>
    </w:p>
    <w:tbl>
      <w:tblPr>
        <w:tblW w:w="5150" w:type="dxa"/>
        <w:jc w:val="left"/>
        <w:tblInd w:w="0" w:type="dxa"/>
        <w:tblLayout w:type="fixed"/>
        <w:tblCellMar>
          <w:top w:w="0" w:type="dxa"/>
          <w:left w:w="0" w:type="dxa"/>
          <w:bottom w:w="0" w:type="dxa"/>
          <w:right w:w="0" w:type="dxa"/>
        </w:tblCellMar>
      </w:tblPr>
      <w:tblGrid>
        <w:gridCol w:w="2075"/>
        <w:gridCol w:w="60"/>
        <w:gridCol w:w="125"/>
        <w:gridCol w:w="755"/>
        <w:gridCol w:w="80"/>
        <w:gridCol w:w="60"/>
        <w:gridCol w:w="125"/>
        <w:gridCol w:w="755"/>
        <w:gridCol w:w="80"/>
        <w:gridCol w:w="60"/>
        <w:gridCol w:w="125"/>
        <w:gridCol w:w="755"/>
        <w:gridCol w:w="95"/>
      </w:tblGrid>
      <w:tr>
        <w:trPr/>
        <w:tc>
          <w:tcPr>
            <w:tcW w:w="2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20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United States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(460,712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(334,707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(258,493</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07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Foreign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508</w:t>
            </w:r>
          </w:p>
        </w:tc>
        <w:tc>
          <w:tcPr>
            <w:tcW w:w="95" w:type="dxa"/>
            <w:tcBorders/>
            <w:vAlign w:val="bottom"/>
          </w:tcPr>
          <w:p>
            <w:pPr>
              <w:pStyle w:val="TableContents"/>
              <w:bidi w:val="0"/>
              <w:spacing w:before="0" w:after="283"/>
              <w:jc w:val="left"/>
              <w:rPr/>
            </w:pPr>
            <w:r>
              <w:rPr/>
              <w:t> </w:t>
            </w:r>
          </w:p>
        </w:tc>
      </w:tr>
      <w:tr>
        <w:trPr/>
        <w:tc>
          <w:tcPr>
            <w:tcW w:w="207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Loss before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(460,068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income tax expense (benefit) was as follows (in thousands):</w:t>
      </w:r>
    </w:p>
    <w:p>
      <w:pPr>
        <w:pStyle w:val="TextBody"/>
        <w:bidi w:val="0"/>
        <w:spacing w:before="0" w:after="0"/>
        <w:jc w:val="left"/>
        <w:rPr/>
      </w:pPr>
      <w:r>
        <w:rPr/>
      </w:r>
    </w:p>
    <w:tbl>
      <w:tblPr>
        <w:tblW w:w="5985" w:type="dxa"/>
        <w:jc w:val="left"/>
        <w:tblInd w:w="0" w:type="dxa"/>
        <w:tblLayout w:type="fixed"/>
        <w:tblCellMar>
          <w:top w:w="0" w:type="dxa"/>
          <w:left w:w="0" w:type="dxa"/>
          <w:bottom w:w="0" w:type="dxa"/>
          <w:right w:w="0" w:type="dxa"/>
        </w:tblCellMar>
      </w:tblPr>
      <w:tblGrid>
        <w:gridCol w:w="3470"/>
        <w:gridCol w:w="60"/>
        <w:gridCol w:w="125"/>
        <w:gridCol w:w="545"/>
        <w:gridCol w:w="80"/>
        <w:gridCol w:w="60"/>
        <w:gridCol w:w="125"/>
        <w:gridCol w:w="590"/>
        <w:gridCol w:w="80"/>
        <w:gridCol w:w="60"/>
        <w:gridCol w:w="125"/>
        <w:gridCol w:w="590"/>
        <w:gridCol w:w="75"/>
      </w:tblGrid>
      <w:tr>
        <w:trPr/>
        <w:tc>
          <w:tcPr>
            <w:tcW w:w="3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8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75" w:type="dxa"/>
            <w:tcBorders/>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Current:</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(5,492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10,522</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State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(848</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(3,687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current income tax expense (benefit)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State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deferred income tax benefit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income tax expense (benefit)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Our expense (benefit) for income taxes differs from the amount computed by applying the U.S. federal statutory rate to loss before income taxes. The sources and tax effects of the differences are as follows (in thousands):</w:t>
      </w:r>
    </w:p>
    <w:p>
      <w:pPr>
        <w:pStyle w:val="TextBody"/>
        <w:bidi w:val="0"/>
        <w:spacing w:before="0" w:after="0"/>
        <w:jc w:val="left"/>
        <w:rPr/>
      </w:pPr>
      <w:r>
        <w:rPr/>
      </w:r>
    </w:p>
    <w:tbl>
      <w:tblPr>
        <w:tblW w:w="8975" w:type="dxa"/>
        <w:jc w:val="left"/>
        <w:tblInd w:w="0" w:type="dxa"/>
        <w:tblLayout w:type="fixed"/>
        <w:tblCellMar>
          <w:top w:w="0" w:type="dxa"/>
          <w:left w:w="0" w:type="dxa"/>
          <w:bottom w:w="0" w:type="dxa"/>
          <w:right w:w="0" w:type="dxa"/>
        </w:tblCellMar>
      </w:tblPr>
      <w:tblGrid>
        <w:gridCol w:w="3485"/>
        <w:gridCol w:w="60"/>
        <w:gridCol w:w="125"/>
        <w:gridCol w:w="755"/>
        <w:gridCol w:w="80"/>
        <w:gridCol w:w="60"/>
        <w:gridCol w:w="60"/>
        <w:gridCol w:w="440"/>
        <w:gridCol w:w="245"/>
        <w:gridCol w:w="60"/>
        <w:gridCol w:w="125"/>
        <w:gridCol w:w="755"/>
        <w:gridCol w:w="80"/>
        <w:gridCol w:w="60"/>
        <w:gridCol w:w="60"/>
        <w:gridCol w:w="440"/>
        <w:gridCol w:w="245"/>
        <w:gridCol w:w="60"/>
        <w:gridCol w:w="125"/>
        <w:gridCol w:w="755"/>
        <w:gridCol w:w="80"/>
        <w:gridCol w:w="60"/>
        <w:gridCol w:w="60"/>
        <w:gridCol w:w="440"/>
        <w:gridCol w:w="260"/>
      </w:tblGrid>
      <w:tr>
        <w:trPr/>
        <w:tc>
          <w:tcPr>
            <w:tcW w:w="34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170" w:type="dxa"/>
            <w:gridSpan w:val="2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260"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26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Pre-tax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(460,068</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(333,965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(257,985</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50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Statutory rate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(96,614</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(70,133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(54,177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State income tax net of federal benefit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(11,889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(22,597</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(13,622</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Net change in valuation allowance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152,590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(33.2</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175,388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(52.5</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104,951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(40.7</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Tax credits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(53,497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11.6</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(67,131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(39,729</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Tax rate change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(3,091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Non-deductible compensation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 non-deductible items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Foreign-derived intangible income benefit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(21,071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(7,493</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19,546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(401</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(0.1</w:t>
            </w:r>
          </w:p>
        </w:tc>
        <w:tc>
          <w:tcPr>
            <w:tcW w:w="26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Effective rate</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(6,171</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w:t>
            </w:r>
          </w:p>
        </w:tc>
        <w:tc>
          <w:tcPr>
            <w:tcW w:w="24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w:t>
            </w:r>
          </w:p>
        </w:tc>
        <w:tc>
          <w:tcPr>
            <w:tcW w:w="26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Deferred income taxes reflect the net tax effects of temporary differences between the carrying amounts of assets and liabilities for financial reporting purposes and the amounts used for income tax purposes.</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F-42</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Significant components of our deferred tax assets and liabilities as of December 31, 2024 and 2023 are as follows (in thousands):</w:t>
      </w:r>
    </w:p>
    <w:p>
      <w:pPr>
        <w:pStyle w:val="TextBody"/>
        <w:bidi w:val="0"/>
        <w:spacing w:before="0" w:after="0"/>
        <w:jc w:val="left"/>
        <w:rPr/>
      </w:pPr>
      <w:r>
        <w:rPr/>
      </w:r>
    </w:p>
    <w:tbl>
      <w:tblPr>
        <w:tblW w:w="6296" w:type="dxa"/>
        <w:jc w:val="left"/>
        <w:tblInd w:w="0" w:type="dxa"/>
        <w:tblLayout w:type="fixed"/>
        <w:tblCellMar>
          <w:top w:w="0" w:type="dxa"/>
          <w:left w:w="0" w:type="dxa"/>
          <w:bottom w:w="0" w:type="dxa"/>
          <w:right w:w="0" w:type="dxa"/>
        </w:tblCellMar>
      </w:tblPr>
      <w:tblGrid>
        <w:gridCol w:w="3920"/>
        <w:gridCol w:w="60"/>
        <w:gridCol w:w="129"/>
        <w:gridCol w:w="940"/>
        <w:gridCol w:w="83"/>
        <w:gridCol w:w="62"/>
        <w:gridCol w:w="129"/>
        <w:gridCol w:w="878"/>
        <w:gridCol w:w="95"/>
      </w:tblGrid>
      <w:tr>
        <w:trPr/>
        <w:tc>
          <w:tcPr>
            <w:tcW w:w="39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21" w:type="dxa"/>
            <w:gridSpan w:val="6"/>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Tax Assets:</w:t>
            </w:r>
          </w:p>
        </w:tc>
        <w:tc>
          <w:tcPr>
            <w:tcW w:w="60" w:type="dxa"/>
            <w:tcBorders/>
            <w:vAlign w:val="bottom"/>
          </w:tcPr>
          <w:p>
            <w:pPr>
              <w:pStyle w:val="TableContents"/>
              <w:bidi w:val="0"/>
              <w:spacing w:before="0" w:after="283"/>
              <w:jc w:val="left"/>
              <w:rPr/>
            </w:pPr>
            <w:r>
              <w:rPr/>
              <w:t> </w:t>
            </w:r>
          </w:p>
        </w:tc>
        <w:tc>
          <w:tcPr>
            <w:tcW w:w="1069" w:type="dxa"/>
            <w:gridSpan w:val="2"/>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0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operating loss carryovers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95,851</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77,964</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Tax credits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310,703</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239,962</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54,063</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71,683</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Stock-based compensation</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82,660</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77,468</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Intangible and capital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93,541</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104,380</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Convertible debt</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9,310</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16,849</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Capitalized research and development expenses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323,560</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238,738</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Long-term lease liabilities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41,481</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43,718</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Sale of future royalties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148,918</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144,608</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14,024</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10,343</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1,174,111</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1,025,713</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Fixed assets</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(5,719</w:t>
            </w:r>
          </w:p>
        </w:tc>
        <w:tc>
          <w:tcPr>
            <w:tcW w:w="83"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(4,166</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Right-of-use assets</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(36,788</w:t>
            </w:r>
          </w:p>
        </w:tc>
        <w:tc>
          <w:tcPr>
            <w:tcW w:w="83"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(42,007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Other</w:t>
            </w:r>
          </w:p>
        </w:tc>
        <w:tc>
          <w:tcPr>
            <w:tcW w:w="60"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(1,896</w:t>
            </w:r>
          </w:p>
        </w:tc>
        <w:tc>
          <w:tcPr>
            <w:tcW w:w="83"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(1,910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deferred tax asset</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1,129,708</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977,630</w:t>
            </w:r>
          </w:p>
        </w:tc>
        <w:tc>
          <w:tcPr>
            <w:tcW w:w="95" w:type="dxa"/>
            <w:tcBorders/>
            <w:shd w:fill="CCEEFF" w:val="clear"/>
            <w:vAlign w:val="bottom"/>
          </w:tcPr>
          <w:p>
            <w:pPr>
              <w:pStyle w:val="TableContents"/>
              <w:bidi w:val="0"/>
              <w:spacing w:before="0" w:after="283"/>
              <w:jc w:val="left"/>
              <w:rPr/>
            </w:pPr>
            <w:r>
              <w:rPr/>
              <w:t> </w:t>
            </w:r>
          </w:p>
        </w:tc>
      </w:tr>
      <w:tr>
        <w:trPr/>
        <w:tc>
          <w:tcPr>
            <w:tcW w:w="3920"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Valuation allowance</w:t>
            </w:r>
          </w:p>
        </w:tc>
        <w:tc>
          <w:tcPr>
            <w:tcW w:w="60"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(1,129,708</w:t>
            </w:r>
          </w:p>
        </w:tc>
        <w:tc>
          <w:tcPr>
            <w:tcW w:w="83"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 w:type="dxa"/>
            <w:tcBorders/>
            <w:vAlign w:val="bottom"/>
          </w:tcPr>
          <w:p>
            <w:pPr>
              <w:pStyle w:val="TableContents"/>
              <w:bidi w:val="0"/>
              <w:spacing w:before="0" w:after="283"/>
              <w:jc w:val="lef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8" w:type="dxa"/>
            <w:tcBorders>
              <w:bottom w:val="single" w:sz="12"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(977,630</w:t>
            </w:r>
          </w:p>
        </w:tc>
        <w:tc>
          <w:tcPr>
            <w:tcW w:w="95"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Total net deferred tax assets and liabilities</w:t>
            </w:r>
          </w:p>
        </w:tc>
        <w:tc>
          <w:tcPr>
            <w:tcW w:w="60" w:type="dxa"/>
            <w:tcBorders/>
            <w:shd w:fill="CCEEFF" w:val="clear"/>
            <w:vAlign w:val="bottom"/>
          </w:tcPr>
          <w:p>
            <w:pPr>
              <w:pStyle w:val="TableContents"/>
              <w:bidi w:val="0"/>
              <w:spacing w:before="0" w:after="283"/>
              <w:jc w:val="left"/>
              <w:rPr/>
            </w:pPr>
            <w:r>
              <w:rPr/>
              <w:t> </w:t>
            </w:r>
          </w:p>
        </w:tc>
        <w:tc>
          <w:tcPr>
            <w:tcW w:w="1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2024, we maintained a full valuation allowance on our net deferred tax assets. We determined the valuation allowance in accordance with the provisions of ASC 740, </w:t>
      </w:r>
      <w:r>
        <w:rPr>
          <w:rFonts w:ascii="Times New Roman;Times;serif" w:hAnsi="Times New Roman;Times;serif"/>
          <w:i/>
          <w:color w:val="000000"/>
          <w:sz w:val="20"/>
        </w:rPr>
        <w:t>Accounting for Income Taxes</w:t>
      </w:r>
      <w:r>
        <w:rPr>
          <w:rFonts w:ascii="Times New Roman;Times;serif" w:hAnsi="Times New Roman;Times;serif"/>
          <w:color w:val="000000"/>
          <w:sz w:val="20"/>
        </w:rPr>
        <w:t>, which requires an assessment of both positive and negative evidence when determining whether it is more likely than not that deferred tax assets are realizable. Our recent history of cumulative losses and expected near-term future losses require us to record a full valuation allowance against all net deferred tax assets. We will maintain a full valuation allowance on net deferred tax assets until sufficient positive evidence exists to support reversal of the valuation allowance.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Our valuation allowance increased by $152 million from December 31, 2023 to December 31, 2024. The increase was primarily related to increases in our deferred tax assets for capitalized research and development expenses and tax credits.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At December 31, 2024, we had federal and state, primarily California, tax net operating loss carryforwards of $290.2 million and $526.9 million, respectively. Our federal tax loss carryforwards are available indefinitely. Our California tax loss carryforwards will begin to expire in 2032. At December 31, 2024, we also had federal and California research and development tax credit carryforwards of $234.2 million and $137.6 million, respectively. Our federal research and development tax credit carryforwards will begin to expire in 2037. Our California research and development tax credit carryforwards are available indefinitely.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Utilization of the net operating loss and tax credit carryforwards may be subject to an annual limitation due to the ownership change limitations provided by the Internal Revenue Code of 1986, as amended, and similar state provisions. The annual limitation may result in the expiration of net operating losses and credits before utilization.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analyze filing positions in all U.S. federal, state and foreign jurisdictions where we file income tax returns, and all open tax years in these jurisdictions to determine if we have any uncertain tax positions on any of our income tax returns. We recognize the impact of an uncertain tax position on an income tax return at the largest amount that the relevant taxing authority is more-likely-than not to sustain upon audit. We do not recognize uncertain income tax positions if they have less than 50 percent likelihood of the applicable tax authority sustaining our position.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F-43</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summarizes our gross unrecognized tax benefits (in thousands):</w:t>
      </w:r>
    </w:p>
    <w:p>
      <w:pPr>
        <w:pStyle w:val="TextBody"/>
        <w:bidi w:val="0"/>
        <w:spacing w:before="0" w:after="0"/>
        <w:jc w:val="left"/>
        <w:rPr/>
      </w:pPr>
      <w:r>
        <w:rPr/>
      </w:r>
    </w:p>
    <w:tbl>
      <w:tblPr>
        <w:tblW w:w="6575" w:type="dxa"/>
        <w:jc w:val="left"/>
        <w:tblInd w:w="0" w:type="dxa"/>
        <w:tblLayout w:type="fixed"/>
        <w:tblCellMar>
          <w:top w:w="0" w:type="dxa"/>
          <w:left w:w="0" w:type="dxa"/>
          <w:bottom w:w="0" w:type="dxa"/>
          <w:right w:w="0" w:type="dxa"/>
        </w:tblCellMar>
      </w:tblPr>
      <w:tblGrid>
        <w:gridCol w:w="3935"/>
        <w:gridCol w:w="60"/>
        <w:gridCol w:w="125"/>
        <w:gridCol w:w="590"/>
        <w:gridCol w:w="80"/>
        <w:gridCol w:w="60"/>
        <w:gridCol w:w="125"/>
        <w:gridCol w:w="650"/>
        <w:gridCol w:w="80"/>
        <w:gridCol w:w="60"/>
        <w:gridCol w:w="125"/>
        <w:gridCol w:w="590"/>
        <w:gridCol w:w="95"/>
      </w:tblGrid>
      <w:tr>
        <w:trPr/>
        <w:tc>
          <w:tcPr>
            <w:tcW w:w="39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5"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Beginning balance of unrecognized tax benefits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43,298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55,085</w:t>
            </w:r>
          </w:p>
        </w:tc>
        <w:tc>
          <w:tcPr>
            <w:tcW w:w="95"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Decrease for lapse of statute of limitations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(7,579</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(14,993</w:t>
            </w:r>
          </w:p>
        </w:tc>
        <w:tc>
          <w:tcPr>
            <w:tcW w:w="80" w:type="dxa"/>
            <w:tcBorders/>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Decrease for prior period tax positions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(737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(267</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Increase for prior period tax positions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259</w:t>
            </w:r>
          </w:p>
        </w:tc>
        <w:tc>
          <w:tcPr>
            <w:tcW w:w="95" w:type="dxa"/>
            <w:tcBorders/>
            <w:vAlign w:val="bottom"/>
          </w:tcPr>
          <w:p>
            <w:pPr>
              <w:pStyle w:val="TableContents"/>
              <w:bidi w:val="0"/>
              <w:spacing w:before="0" w:after="283"/>
              <w:jc w:val="left"/>
              <w:rPr/>
            </w:pPr>
            <w:r>
              <w:rPr/>
              <w:t> </w:t>
            </w:r>
          </w:p>
        </w:tc>
      </w:tr>
      <w:tr>
        <w:trPr/>
        <w:tc>
          <w:tcPr>
            <w:tcW w:w="3935" w:type="dxa"/>
            <w:tcBorders/>
            <w:shd w:fill="CCEEFF" w:val="cle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Increase for current period tax positions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1,490</w:t>
            </w:r>
          </w:p>
        </w:tc>
        <w:tc>
          <w:tcPr>
            <w:tcW w:w="95" w:type="dxa"/>
            <w:tcBorders/>
            <w:shd w:fill="CCEEFF" w:val="clear"/>
            <w:vAlign w:val="bottom"/>
          </w:tcPr>
          <w:p>
            <w:pPr>
              <w:pStyle w:val="TableContents"/>
              <w:bidi w:val="0"/>
              <w:spacing w:before="0" w:after="283"/>
              <w:jc w:val="left"/>
              <w:rPr/>
            </w:pPr>
            <w:r>
              <w:rPr/>
              <w:t> </w:t>
            </w:r>
          </w:p>
        </w:tc>
      </w:tr>
      <w:tr>
        <w:trPr/>
        <w:tc>
          <w:tcPr>
            <w:tcW w:w="3935" w:type="dxa"/>
            <w:tcBorders/>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Ending balance of unrecognized tax benefits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41,161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43,298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56,567</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sz w:val="24"/>
        </w:rPr>
      </w:pPr>
      <w:r>
        <w:rPr>
          <w:rFonts w:ascii="Times New Roman;Times;serif" w:hAnsi="Times New Roman;Times;serif"/>
          <w:sz w:val="24"/>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Included in the balance of unrecognized tax benefits at December 31, 2024, 2023 and 2022 was $0.3 million, $0.3 million and $6.2 million respectively, that if we recognized, could impact our effective tax rate, subject to our remaining valuation allowance.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do not expect any material changes to our gross unrecognized tax benefits within the next 12 months.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recognize interest and/or penalties related to income tax matters in income tax expense. During the years ended December 31, 2024, 2023 and 2022, we recognized $0.1 million, $0.1 million and $0.8 million, respectively, of accrued interest and penalties related to gross unrecognized tax benefits.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are subject to taxation in the U.S. and various state and foreign jurisdictions. U.S. tax years 2021 through 2023 remain open to examination and tax years 2020 through 2023 remain open to examination by major state taxing jurisdictions, primarily California, although net operating loss and credit carryforwards generated prior to these periods may still be adjusted upon examination by the Internal Revenue Service or state tax authorities if they have been used in an open period or are used in a future period.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Accounting guidance for income taxes requires a deferred tax liability to be established for the tax impact of undistributed earnings of foreign subsidiaries unless it can be shown that these earnings will be permanently reinvested outside the U.S. If our foreign earnings were to be repatriated in the future, the estimated tax liability would be insignificant.</w:t>
      </w:r>
    </w:p>
    <w:p>
      <w:pPr>
        <w:pStyle w:val="TextBody"/>
        <w:bidi w:val="0"/>
        <w:spacing w:before="0" w:after="0"/>
        <w:jc w:val="left"/>
        <w:rPr/>
      </w:pPr>
      <w:r>
        <w:rPr/>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10. Employment Benefits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employee 401(k) salary deferral plans covering all employees. Employees could make contributions by withholding a percentage of their salary up to the IRS annual limits of $23,000 and $30,500 in 2024 for employees under 50 years old and employees 50 years old or over, respectively. We made approximately $8.6 million, $7.1 million and $5.6 million in matching contributions for the years ended December 31, 2024, 2023 and 2022, respectively.</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 Legal Proceedings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From time to time, we are involved in legal proceedings arising in the ordinary course of our business. Periodically, we evaluate the status of each legal matter and assess our potential financial exposure. If we consider the potential loss from any legal proceeding to be probable and we can reasonably estimate the amount, we accrue a liability for the estimated loss. The outcome of any proceeding is not determinable in advance. Therefore, we are required to use significant judgment to determine the probability of a loss and whether the amount of the loss is reasonably estimable. Our assessment of a potential liability and the amount of accruals we recorded are based only on the information available to us at the time. As additional information becomes available, we reassess the potential liability related to the legal proceeding and may revise our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There are no pending material legal proceedings to which we are a party or of which our property is the subject.</w:t>
      </w:r>
    </w:p>
    <w:p>
      <w:pPr>
        <w:pStyle w:val="TextBody"/>
        <w:bidi w:val="0"/>
        <w:spacing w:before="0" w:after="0"/>
        <w:jc w:val="left"/>
        <w:rPr/>
      </w:pPr>
      <w:r>
        <w:rPr/>
      </w:r>
    </w:p>
    <w:p>
      <w:pPr>
        <w:pStyle w:val="TextBody"/>
        <w:bidi w:val="0"/>
        <w:spacing w:before="200" w:after="200"/>
        <w:jc w:val="center"/>
        <w:rPr>
          <w:rFonts w:ascii="Times New Roman;Times;serif" w:hAnsi="Times New Roman;Times;serif"/>
          <w:color w:val="000000"/>
          <w:sz w:val="16"/>
        </w:rPr>
      </w:pPr>
      <w:r>
        <w:rPr>
          <w:rFonts w:ascii="Times New Roman;Times;serif" w:hAnsi="Times New Roman;Times;serif"/>
          <w:color w:val="000000"/>
          <w:sz w:val="16"/>
        </w:rPr>
        <w:t>F-44</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i/>
            <w:color w:val="000000"/>
            <w:sz w:val="16"/>
          </w:rPr>
          <w:t>Table of Contents</w:t>
        </w:r>
      </w:hyperlink>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 Segment Information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operate as a single operating segment, Ionis operations, focused on the research, development and commercialization of our RNA-targeted medicines to bring better futures to people with serious diseases. As the CODM, our Chief Executive Officer manages our company, reviews operating results, assesses performance and allocates resources on an aggregate basis using consolidated net income or loss as the key measure of segment profit or loss. As such, results of our operations are reported on a consolidated basis for purposes of management and segment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Ionis operations derives its revenues from commercial and R&amp;D revenue sources. Refer to Note 3, </w:t>
      </w:r>
      <w:r>
        <w:rPr>
          <w:rFonts w:ascii="Times New Roman;Times;serif" w:hAnsi="Times New Roman;Times;serif"/>
          <w:i/>
          <w:color w:val="000000"/>
          <w:sz w:val="20"/>
        </w:rPr>
        <w:t>Revenues</w:t>
      </w:r>
      <w:r>
        <w:rPr>
          <w:rFonts w:ascii="Times New Roman;Times;serif" w:hAnsi="Times New Roman;Times;serif"/>
          <w:color w:val="000000"/>
          <w:sz w:val="20"/>
        </w:rPr>
        <w:t>, for further details on our sources of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table sets forth information on segment profit or loss, including significant segment expenses (in thousands):</w:t>
      </w:r>
    </w:p>
    <w:p>
      <w:pPr>
        <w:pStyle w:val="TextBody"/>
        <w:bidi w:val="0"/>
        <w:spacing w:before="0" w:after="0"/>
        <w:jc w:val="left"/>
        <w:rPr/>
      </w:pPr>
      <w:r>
        <w:rPr/>
      </w:r>
    </w:p>
    <w:tbl>
      <w:tblPr>
        <w:tblW w:w="6620" w:type="dxa"/>
        <w:jc w:val="left"/>
        <w:tblInd w:w="0" w:type="dxa"/>
        <w:tblLayout w:type="fixed"/>
        <w:tblCellMar>
          <w:top w:w="0" w:type="dxa"/>
          <w:left w:w="0" w:type="dxa"/>
          <w:bottom w:w="0" w:type="dxa"/>
          <w:right w:w="0" w:type="dxa"/>
        </w:tblCellMar>
      </w:tblPr>
      <w:tblGrid>
        <w:gridCol w:w="3545"/>
        <w:gridCol w:w="60"/>
        <w:gridCol w:w="125"/>
        <w:gridCol w:w="755"/>
        <w:gridCol w:w="80"/>
        <w:gridCol w:w="60"/>
        <w:gridCol w:w="125"/>
        <w:gridCol w:w="755"/>
        <w:gridCol w:w="80"/>
        <w:gridCol w:w="60"/>
        <w:gridCol w:w="125"/>
        <w:gridCol w:w="755"/>
        <w:gridCol w:w="95"/>
      </w:tblGrid>
      <w:tr>
        <w:trPr/>
        <w:tc>
          <w:tcPr>
            <w:tcW w:w="35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20" w:type="dxa"/>
            <w:gridSpan w:val="10"/>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Year Ended December 31,</w:t>
            </w:r>
          </w:p>
        </w:tc>
        <w:tc>
          <w:tcPr>
            <w:tcW w:w="9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2022</w:t>
            </w:r>
          </w:p>
        </w:tc>
        <w:tc>
          <w:tcPr>
            <w:tcW w:w="95"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540" w:right="0" w:hanging="540"/>
              <w:jc w:val="left"/>
              <w:rPr>
                <w:rFonts w:ascii="Times New Roman;Times;serif" w:hAnsi="Times New Roman;Times;serif"/>
                <w:sz w:val="20"/>
              </w:rPr>
            </w:pPr>
            <w:r>
              <w:rPr>
                <w:rFonts w:ascii="Times New Roman;Times;serif" w:hAnsi="Times New Roman;Times;serif"/>
                <w:sz w:val="20"/>
              </w:rPr>
              <w:t>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705,138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787,647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587,367</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Less: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Cost of sales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13,447</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Drug discovery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114,350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125,649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181,302</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Drug development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527,259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530,332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426,225</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Medical affairs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27,229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19,454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15,948</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Manufacturing and development chemistry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65,293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76,162</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R&amp;D support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82,559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59,840</w:t>
            </w:r>
          </w:p>
        </w:tc>
        <w:tc>
          <w:tcPr>
            <w:tcW w:w="95"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230,478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205,135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124,370</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Other segment items (1)</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109,016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118,365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(40,205</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5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545" w:type="dxa"/>
            <w:tcBorders/>
            <w:shd w:fill="CCEEFF" w:val="clear"/>
            <w:vAlign w:val="bottom"/>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Consolidated net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(453,897</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(366,286</w:t>
            </w:r>
          </w:p>
        </w:tc>
        <w:tc>
          <w:tcPr>
            <w:tcW w:w="80"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(269,722</w:t>
            </w:r>
          </w:p>
        </w:tc>
        <w:tc>
          <w:tcPr>
            <w:tcW w:w="95" w:type="dxa"/>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Other segment items include stock-based compensation expense, investment income, interest expense, gain or loss on investments, other income or expense and income tax expense or benefit. </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 Fourth Quarter Financial Data (Unaudited)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following financial information reflects all normal recurring adjustments, which are, in the opinion of management, necessary for a fair statement of the results of the interim periods. Summarized fourth quarter data for 2024 and 2023 are as follows (in thousands, except per share data).</w:t>
      </w:r>
    </w:p>
    <w:p>
      <w:pPr>
        <w:pStyle w:val="TextBody"/>
        <w:bidi w:val="0"/>
        <w:spacing w:before="0" w:after="0"/>
        <w:jc w:val="left"/>
        <w:rPr/>
      </w:pPr>
      <w:r>
        <w:rPr/>
      </w:r>
    </w:p>
    <w:tbl>
      <w:tblPr>
        <w:tblW w:w="5000" w:type="dxa"/>
        <w:jc w:val="left"/>
        <w:tblInd w:w="0" w:type="dxa"/>
        <w:tblLayout w:type="fixed"/>
        <w:tblCellMar>
          <w:top w:w="0" w:type="dxa"/>
          <w:left w:w="0" w:type="dxa"/>
          <w:bottom w:w="28" w:type="dxa"/>
          <w:right w:w="0" w:type="dxa"/>
        </w:tblCellMar>
      </w:tblPr>
      <w:tblGrid>
        <w:gridCol w:w="3005"/>
        <w:gridCol w:w="60"/>
        <w:gridCol w:w="125"/>
        <w:gridCol w:w="755"/>
        <w:gridCol w:w="80"/>
        <w:gridCol w:w="60"/>
        <w:gridCol w:w="125"/>
        <w:gridCol w:w="695"/>
        <w:gridCol w:w="95"/>
      </w:tblGrid>
      <w:tr>
        <w:trPr/>
        <w:tc>
          <w:tcPr>
            <w:tcW w:w="3005" w:type="dxa"/>
            <w:tcBorders>
              <w:bottom w:val="single" w:sz="12" w:space="0" w:color="000000"/>
            </w:tcBorders>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Three Months Ended December 31,</w:t>
            </w:r>
          </w:p>
        </w:tc>
        <w:tc>
          <w:tcPr>
            <w:tcW w:w="6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2024</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20"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2023</w:t>
            </w:r>
          </w:p>
        </w:tc>
        <w:tc>
          <w:tcPr>
            <w:tcW w:w="95"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Revenue (1)</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226,577</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324,505</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Operating expenses (2)</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337,398</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330,627</w:t>
            </w:r>
          </w:p>
        </w:tc>
        <w:tc>
          <w:tcPr>
            <w:tcW w:w="95" w:type="dxa"/>
            <w:tcBorders/>
            <w:tcMar>
              <w:bottom w:w="0" w:type="dxa"/>
            </w:tcMar>
            <w:vAlign w:val="bottom"/>
          </w:tcPr>
          <w:p>
            <w:pPr>
              <w:pStyle w:val="TableContents"/>
              <w:bidi w:val="0"/>
              <w:spacing w:before="0" w:after="283"/>
              <w:jc w:val="left"/>
              <w:rPr/>
            </w:pPr>
            <w:r>
              <w:rPr/>
              <w:t> </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(110,821</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(6,122</w:t>
            </w:r>
          </w:p>
        </w:tc>
        <w:tc>
          <w:tcPr>
            <w:tcW w:w="9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Net loss</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(104,349</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(9,263</w:t>
            </w:r>
          </w:p>
        </w:tc>
        <w:tc>
          <w:tcPr>
            <w:tcW w:w="9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Basic net loss per share (3) (4)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(0.66</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95"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tcMar>
              <w:bottom w:w="0" w:type="dxa"/>
            </w:tcMar>
            <w:vAlign w:val="bottom"/>
          </w:tcPr>
          <w:p>
            <w:pPr>
              <w:pStyle w:val="TableContents"/>
              <w:bidi w:val="0"/>
              <w:spacing w:before="0" w:after="0"/>
              <w:ind w:left="180" w:right="0" w:hanging="180"/>
              <w:jc w:val="both"/>
              <w:rPr>
                <w:rFonts w:ascii="Times New Roman;Times;serif" w:hAnsi="Times New Roman;Times;serif"/>
                <w:sz w:val="20"/>
              </w:rPr>
            </w:pPr>
            <w:r>
              <w:rPr>
                <w:rFonts w:ascii="Times New Roman;Times;serif" w:hAnsi="Times New Roman;Times;serif"/>
                <w:sz w:val="20"/>
              </w:rPr>
              <w:t>Diluted net loss per share (3) (5)</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75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(0.66</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12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95"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(0.06</w:t>
            </w:r>
          </w:p>
        </w:tc>
        <w:tc>
          <w:tcPr>
            <w:tcW w:w="95"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________________</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Revenue was lower in the three months ended December 31, 2024 compared to the same period in 2023 primarily due to significant partner payments earned in the fourth quarter of 2023, including the $50 million milestone payment we earned from AstraZeneca when the FDA approved WAINUA for ATTRv-PN in the U.S., $36 million payment we earned when AstraZeneca licensed ION826 and revenue we recognized in the fourth quarter of 2023 from the upfront payments we received from our new collaborations with Otsuka, Roche and Novartis. In addition, WAINUA joint development revenue decreased in the three months ended December 31, 2024 compared to the same period in 2023 as development activities relating to ATTRv-PN wound down with the launch of WAINUA.</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Operating expenses were relatively consistent in the three months ended December 31, 2024 compared to the same period in 2023.</w:t>
            </w:r>
          </w:p>
        </w:tc>
      </w:tr>
    </w:tbl>
    <w:p>
      <w:pPr>
        <w:pStyle w:val="TextBody"/>
        <w:bidi w:val="0"/>
        <w:spacing w:before="0" w:after="0"/>
        <w:jc w:val="left"/>
        <w:rPr/>
      </w:pPr>
      <w:r>
        <w:rPr/>
      </w:r>
    </w:p>
    <w:tbl>
      <w:tblPr>
        <w:tblW w:w="6595" w:type="dxa"/>
        <w:jc w:val="left"/>
        <w:tblInd w:w="0" w:type="dxa"/>
        <w:tblLayout w:type="fixed"/>
        <w:tblCellMar>
          <w:top w:w="0" w:type="dxa"/>
          <w:left w:w="0" w:type="dxa"/>
          <w:bottom w:w="0" w:type="dxa"/>
          <w:right w:w="0" w:type="dxa"/>
        </w:tblCellMar>
      </w:tblPr>
      <w:tblGrid>
        <w:gridCol w:w="260"/>
        <w:gridCol w:w="633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3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compute net loss per share independently for each quarter during the year.</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As discussed in Note 1, </w:t>
            </w:r>
            <w:r>
              <w:rPr>
                <w:rFonts w:ascii="Times New Roman;Times;serif" w:hAnsi="Times New Roman;Times;serif"/>
                <w:i/>
                <w:sz w:val="20"/>
              </w:rPr>
              <w:t xml:space="preserve">Organization and Significant Accounting Policies, </w:t>
            </w:r>
            <w:r>
              <w:rPr>
                <w:rFonts w:ascii="Times New Roman;Times;serif" w:hAnsi="Times New Roman;Times;serif"/>
                <w:sz w:val="20"/>
              </w:rPr>
              <w:t>we compute basic net loss per share by dividing the total net loss by our weighted-average number of common shares outstanding during the period.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We incurred a net loss for the fourth quarter of 2024 and 2023. As a result, we did not include dilutive common equivalent shares in the computation of diluted net loss per share because the effect would have been anti-dilutive.</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F-45</w:t>
      </w:r>
    </w:p>
    <w:p>
      <w:pPr>
        <w:pStyle w:val="HorizontalLine"/>
        <w:bidi w:val="0"/>
        <w:jc w:val="center"/>
        <w:rPr/>
      </w:pPr>
      <w:r>
        <w:rPr/>
      </w:r>
    </w:p>
    <w:p>
      <w:pPr>
        <w:pStyle w:val="HorizontalLine"/>
        <w:pBdr>
          <w:bottom w:val="single" w:sz="12" w:space="0" w:color="808080"/>
        </w:pBdr>
        <w:bidi w:val="0"/>
        <w:jc w:val="left"/>
        <w:rPr/>
      </w:pPr>
      <w:r>
        <w:rPr/>
      </w:r>
      <w:bookmarkStart w:id="45" w:name="exhibit10-58.htm"/>
      <w:bookmarkStart w:id="46" w:name="ksexhibit1058"/>
      <w:bookmarkStart w:id="47" w:name="exhibit10-58.htm"/>
      <w:bookmarkStart w:id="48" w:name="ksexhibit1058"/>
      <w:bookmarkEnd w:id="47"/>
      <w:bookmarkEnd w:id="48"/>
      <w:r>
        <w:br w:type="page"/>
      </w:r>
    </w:p>
    <w:p>
      <w:pPr>
        <w:pStyle w:val="TextBody"/>
        <w:bidi w:val="0"/>
        <w:spacing w:before="0" w:after="0"/>
        <w:jc w:val="both"/>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right"/>
        <w:rPr>
          <w:b/>
        </w:rPr>
      </w:pPr>
      <w:r>
        <w:rPr>
          <w:b/>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10.58</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Certain portions of this exhibit, marked by [***], have been excluded because they are both not material and are the type that the registrant treats as private or confidential.</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4</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Amendment No. 4 (the “</w:t>
      </w:r>
      <w:r>
        <w:rPr>
          <w:rFonts w:ascii="Times New Roman" w:hAnsi="Times New Roman"/>
          <w:b/>
          <w:i/>
          <w:color w:val="000000"/>
          <w:sz w:val="20"/>
        </w:rPr>
        <w:t>Fourth Amendment</w:t>
      </w:r>
      <w:r>
        <w:rPr>
          <w:rFonts w:ascii="Times New Roman" w:hAnsi="Times New Roman"/>
          <w:color w:val="000000"/>
          <w:sz w:val="20"/>
        </w:rPr>
        <w:t xml:space="preserve">”) to the Strategic Collaboration Agreement, dated July 31, 2015, as previously amended by Amendment No. 1 dated October 18, 2018, Amendment No. 2 dated April 30, 2020, Amendment No. 3 dated December 17, 2020, and that certain letter agreement regarding [***] (the “[***] </w:t>
      </w:r>
      <w:r>
        <w:rPr>
          <w:rFonts w:ascii="Times New Roman" w:hAnsi="Times New Roman"/>
          <w:b/>
          <w:i/>
          <w:color w:val="000000"/>
          <w:sz w:val="20"/>
        </w:rPr>
        <w:t>Letter Agreement</w:t>
      </w:r>
      <w:r>
        <w:rPr>
          <w:rFonts w:ascii="Times New Roman" w:hAnsi="Times New Roman"/>
          <w:color w:val="000000"/>
          <w:sz w:val="20"/>
        </w:rPr>
        <w:t>”) dated August 28, 2024 (the “</w:t>
      </w:r>
      <w:r>
        <w:rPr>
          <w:rFonts w:ascii="Times New Roman" w:hAnsi="Times New Roman"/>
          <w:b/>
          <w:i/>
          <w:color w:val="000000"/>
          <w:sz w:val="20"/>
        </w:rPr>
        <w:t>Agreement</w:t>
      </w:r>
      <w:r>
        <w:rPr>
          <w:rFonts w:ascii="Times New Roman" w:hAnsi="Times New Roman"/>
          <w:color w:val="000000"/>
          <w:sz w:val="20"/>
        </w:rPr>
        <w:t>”) is made by and between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ASTRAZENECA AB, a company incorporated in Sweden under no. 556011-7482 with its registered office at SE-151 85 Södertälje, Sweden (“</w:t>
      </w:r>
      <w:r>
        <w:rPr>
          <w:rFonts w:ascii="Times New Roman" w:hAnsi="Times New Roman"/>
          <w:b/>
          <w:i/>
          <w:color w:val="000000"/>
          <w:sz w:val="20"/>
        </w:rPr>
        <w:t>AstraZeneca</w:t>
      </w:r>
      <w:r>
        <w:rPr>
          <w:rFonts w:ascii="Times New Roman" w:hAnsi="Times New Roman"/>
          <w:color w:val="000000"/>
          <w:sz w:val="20"/>
        </w:rPr>
        <w:t>”)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IONIS PHARMACEUTICALS, INC., a Delaware corporation, (formerly known as Isis Pharmaceuticals, Inc.) having its principal place of business at 2855 Gazelle Court, Carlsbad, California 92010 (“</w:t>
      </w:r>
      <w:r>
        <w:rPr>
          <w:rFonts w:ascii="Times New Roman" w:hAnsi="Times New Roman"/>
          <w:b/>
          <w:i/>
          <w:color w:val="000000"/>
          <w:sz w:val="20"/>
        </w:rPr>
        <w:t>Ionis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and is made effective as of December 23, 2024 (the “</w:t>
      </w:r>
      <w:r>
        <w:rPr>
          <w:rFonts w:ascii="Times New Roman" w:hAnsi="Times New Roman"/>
          <w:b/>
          <w:i/>
          <w:color w:val="000000"/>
          <w:sz w:val="20"/>
        </w:rPr>
        <w:t>Fourth Amendment Effective Date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Recitals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WHEREAS, the Parties entered into the Agreement to establish a strategic collaboration focused on the Primary Diseases;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WHEREAS, as of the Fourth Amendment Effective Date, and in accordance with the Agreement, AstraZeneca is Developing the following: (i) a Product that comprises a Compound designed to bind to APOL1 (each, an “</w:t>
      </w:r>
      <w:r>
        <w:rPr>
          <w:rFonts w:ascii="Times New Roman" w:hAnsi="Times New Roman"/>
          <w:b/>
          <w:i/>
          <w:color w:val="000000"/>
          <w:sz w:val="20"/>
        </w:rPr>
        <w:t>APOL1 Product</w:t>
      </w:r>
      <w:r>
        <w:rPr>
          <w:rFonts w:ascii="Times New Roman" w:hAnsi="Times New Roman"/>
          <w:color w:val="000000"/>
          <w:sz w:val="20"/>
        </w:rPr>
        <w:t>”); (ii) a Product that comprises a Compound designed to bind to PNPLA3 (each, a “</w:t>
      </w:r>
      <w:r>
        <w:rPr>
          <w:rFonts w:ascii="Times New Roman" w:hAnsi="Times New Roman"/>
          <w:b/>
          <w:i/>
          <w:color w:val="000000"/>
          <w:sz w:val="20"/>
        </w:rPr>
        <w:t>PNPLA3 Product</w:t>
      </w:r>
      <w:r>
        <w:rPr>
          <w:rFonts w:ascii="Times New Roman" w:hAnsi="Times New Roman"/>
          <w:color w:val="000000"/>
          <w:sz w:val="20"/>
        </w:rPr>
        <w:t xml:space="preserve">”), and (iii) a Product that comprises a Compound designed to bind to [***] (each such Product, [***] “[***] </w:t>
      </w:r>
      <w:r>
        <w:rPr>
          <w:rFonts w:ascii="Times New Roman" w:hAnsi="Times New Roman"/>
          <w:b/>
          <w:i/>
          <w:color w:val="000000"/>
          <w:sz w:val="20"/>
        </w:rPr>
        <w:t>Product</w:t>
      </w:r>
      <w:r>
        <w:rPr>
          <w:rFonts w:ascii="Times New Roman" w:hAnsi="Times New Roman"/>
          <w:color w:val="000000"/>
          <w:sz w:val="20"/>
        </w:rPr>
        <w:t>” and together with the APOL1 Products and PNPLA3 Products, the “</w:t>
      </w:r>
      <w:r>
        <w:rPr>
          <w:rFonts w:ascii="Times New Roman" w:hAnsi="Times New Roman"/>
          <w:b/>
          <w:i/>
          <w:color w:val="000000"/>
          <w:sz w:val="20"/>
        </w:rPr>
        <w:t>Collaboration Products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WHEREAS, the Parties now desire to amend and restate certain financial provisions of the Agreement with respect to the Collaboration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WHEREAS, in addition to the Collaboration Products, AstraZeneca seeks to develop an antisense drug discovered by Ionis targeting [***] for the treatment of pulmonary diseases; and</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WHEREAS, Ionis now desires to grant to AstraZeneca, and AstraZeneca now desires to accept from Ionis, an exclusive license to Develop, Manufacture and Commercialize the [***] Products.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NOW, THEREFORE, in consideration of the mutual covenants contained in this Fourth Amendment, and other good and valuable consideration, the receipt and sufficiency of which are hereby acknowledged, the Parties, intending to be legally bound, agree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d94067de06dd4f42a26909da8e1be280"/>
      <w:bookmarkStart w:id="50" w:name="zd94067de06dd4f42a26909da8e1be280"/>
      <w:bookmarkEnd w:id="50"/>
    </w:p>
    <w:tbl>
      <w:tblPr>
        <w:tblW w:w="1345" w:type="dxa"/>
        <w:jc w:val="left"/>
        <w:tblInd w:w="0" w:type="dxa"/>
        <w:tblLayout w:type="fixed"/>
        <w:tblCellMar>
          <w:top w:w="0" w:type="dxa"/>
          <w:left w:w="0" w:type="dxa"/>
          <w:bottom w:w="0" w:type="dxa"/>
          <w:right w:w="0" w:type="dxa"/>
        </w:tblCellMar>
      </w:tblPr>
      <w:tblGrid>
        <w:gridCol w:w="215"/>
        <w:gridCol w:w="1130"/>
      </w:tblGrid>
      <w:tr>
        <w:trPr/>
        <w:tc>
          <w:tcPr>
            <w:tcW w:w="215" w:type="dxa"/>
            <w:tcBorders/>
            <w:vAlign w:val="center"/>
          </w:tcPr>
          <w:p>
            <w:pPr>
              <w:pStyle w:val="TableContents"/>
              <w:bidi w:val="0"/>
              <w:spacing w:before="0" w:after="283"/>
              <w:jc w:val="left"/>
              <w:rPr/>
            </w:pPr>
            <w:r>
              <w:rPr/>
              <w:t>1.</w:t>
            </w:r>
          </w:p>
        </w:tc>
        <w:tc>
          <w:tcPr>
            <w:tcW w:w="1130" w:type="dxa"/>
            <w:tcBorders/>
            <w:vAlign w:val="center"/>
          </w:tcPr>
          <w:p>
            <w:pPr>
              <w:pStyle w:val="TableContents"/>
              <w:bidi w:val="0"/>
              <w:spacing w:before="0" w:after="0"/>
              <w:jc w:val="both"/>
              <w:rPr>
                <w:b/>
              </w:rPr>
            </w:pPr>
            <w:r>
              <w:rPr>
                <w:b/>
              </w:rPr>
              <w:t>Definitions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capitalized term not separately defined in this Fourth Amendment will have the meaning ascribed to it in the Agreement.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a18026b4c6e44ed794070e7d6e35dcb4"/>
      <w:bookmarkStart w:id="52" w:name="za18026b4c6e44ed794070e7d6e35dcb4"/>
      <w:bookmarkEnd w:id="52"/>
    </w:p>
    <w:tbl>
      <w:tblPr>
        <w:tblW w:w="1630" w:type="dxa"/>
        <w:jc w:val="left"/>
        <w:tblInd w:w="0" w:type="dxa"/>
        <w:tblLayout w:type="fixed"/>
        <w:tblCellMar>
          <w:top w:w="0" w:type="dxa"/>
          <w:left w:w="0" w:type="dxa"/>
          <w:bottom w:w="0" w:type="dxa"/>
          <w:right w:w="0" w:type="dxa"/>
        </w:tblCellMar>
      </w:tblPr>
      <w:tblGrid>
        <w:gridCol w:w="215"/>
        <w:gridCol w:w="1415"/>
      </w:tblGrid>
      <w:tr>
        <w:trPr/>
        <w:tc>
          <w:tcPr>
            <w:tcW w:w="215" w:type="dxa"/>
            <w:tcBorders/>
            <w:vAlign w:val="center"/>
          </w:tcPr>
          <w:p>
            <w:pPr>
              <w:pStyle w:val="TableContents"/>
              <w:bidi w:val="0"/>
              <w:spacing w:before="0" w:after="283"/>
              <w:jc w:val="left"/>
              <w:rPr/>
            </w:pPr>
            <w:r>
              <w:rPr/>
              <w:t>2.</w:t>
            </w:r>
          </w:p>
        </w:tc>
        <w:tc>
          <w:tcPr>
            <w:tcW w:w="1415" w:type="dxa"/>
            <w:tcBorders/>
            <w:vAlign w:val="center"/>
          </w:tcPr>
          <w:p>
            <w:pPr>
              <w:pStyle w:val="TableContents"/>
              <w:bidi w:val="0"/>
              <w:spacing w:before="0" w:after="0"/>
              <w:jc w:val="both"/>
              <w:rPr>
                <w:b/>
              </w:rPr>
            </w:pPr>
            <w:r>
              <w:rPr>
                <w:b/>
              </w:rPr>
              <w:t>Modifications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75a37bf651e145e2a56f0ea59e0635ed"/>
      <w:bookmarkStart w:id="54" w:name="z75a37bf651e145e2a56f0ea59e0635ed"/>
      <w:bookmarkEnd w:id="54"/>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both"/>
              <w:rPr>
                <w:sz w:val="24"/>
              </w:rPr>
            </w:pPr>
            <w:r>
              <w:rPr>
                <w:b/>
                <w:sz w:val="20"/>
                <w:u w:val="single"/>
              </w:rPr>
              <w:t>Section 3.1.1</w:t>
            </w:r>
            <w:r>
              <w:rPr>
                <w:sz w:val="20"/>
              </w:rPr>
              <w:t xml:space="preserve">.  </w:t>
            </w:r>
            <w:r>
              <w:rPr>
                <w:sz w:val="20"/>
                <w:u w:val="single"/>
              </w:rPr>
              <w:t>Section 3.1.1</w:t>
            </w:r>
            <w:r>
              <w:rPr>
                <w:sz w:val="20"/>
              </w:rPr>
              <w:t xml:space="preserve"> (Ionis’ and AstraZeneca’s Exclusivity Covenants) is hereby amended by adding the following, as new subclause (d), at the end of </w:t>
            </w:r>
            <w:r>
              <w:rPr>
                <w:sz w:val="20"/>
                <w:u w:val="single"/>
              </w:rPr>
              <w:t>Section 3.1.1</w:t>
            </w:r>
            <w:r>
              <w:rPr>
                <w:sz w:val="20"/>
              </w:rPr>
              <w:t xml:space="preserve"> (Ionis’ and AstraZeneca’s Exclusivity Covenants):</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(d)</w:t>
      </w:r>
      <w:r>
        <w:rPr>
          <w:rFonts w:ascii="Times New Roman" w:hAnsi="Times New Roman"/>
          <w:color w:val="000000"/>
          <w:sz w:val="20"/>
        </w:rPr>
        <w:t xml:space="preserve">       </w:t>
      </w:r>
      <w:r>
        <w:rPr>
          <w:rFonts w:ascii="Times New Roman" w:hAnsi="Times New Roman"/>
          <w:b/>
          <w:i/>
          <w:color w:val="000000"/>
          <w:sz w:val="20"/>
          <w:u w:val="single"/>
        </w:rPr>
        <w:t>[***] After Fourth Amendment Effective Date</w:t>
      </w:r>
      <w:r>
        <w:rPr>
          <w:rFonts w:ascii="Times New Roman" w:hAnsi="Times New Roman"/>
          <w:b/>
          <w:color w:val="000000"/>
          <w:sz w:val="20"/>
        </w:rPr>
        <w:t>.</w:t>
      </w:r>
      <w:r>
        <w:rPr>
          <w:rFonts w:ascii="Times New Roman" w:hAnsi="Times New Roman"/>
          <w:color w:val="000000"/>
          <w:sz w:val="20"/>
        </w:rPr>
        <w:t>  The development or commercialization of an ASO that is designed to bind to [***] after the Fourth Amendment Effective Date, (1) with respect to development of an ASO that is designed to bind to [***], until [***] or [***], and (2) on a country-by-country basis with respect to commercialization of an ASO that is designed to bind to [***], until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fb191c8912494131b518911628430c3f"/>
      <w:bookmarkStart w:id="56" w:name="zfb191c8912494131b518911628430c3f"/>
      <w:bookmarkEnd w:id="56"/>
    </w:p>
    <w:tbl>
      <w:tblPr>
        <w:tblW w:w="8688" w:type="dxa"/>
        <w:jc w:val="left"/>
        <w:tblInd w:w="0" w:type="dxa"/>
        <w:tblLayout w:type="fixed"/>
        <w:tblCellMar>
          <w:top w:w="0" w:type="dxa"/>
          <w:left w:w="0" w:type="dxa"/>
          <w:bottom w:w="0" w:type="dxa"/>
          <w:right w:w="0" w:type="dxa"/>
        </w:tblCellMar>
      </w:tblPr>
      <w:tblGrid>
        <w:gridCol w:w="38"/>
        <w:gridCol w:w="200"/>
        <w:gridCol w:w="84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b.</w:t>
            </w:r>
          </w:p>
        </w:tc>
        <w:tc>
          <w:tcPr>
            <w:tcW w:w="8450" w:type="dxa"/>
            <w:tcBorders/>
            <w:vAlign w:val="center"/>
          </w:tcPr>
          <w:p>
            <w:pPr>
              <w:pStyle w:val="TableContents"/>
              <w:bidi w:val="0"/>
              <w:spacing w:before="0" w:after="0"/>
              <w:jc w:val="both"/>
              <w:rPr>
                <w:sz w:val="24"/>
              </w:rPr>
            </w:pPr>
            <w:r>
              <w:rPr>
                <w:b/>
                <w:sz w:val="20"/>
                <w:u w:val="single"/>
              </w:rPr>
              <w:t>Section 3.1.3(a)(ii)</w:t>
            </w:r>
            <w:r>
              <w:rPr>
                <w:sz w:val="20"/>
              </w:rPr>
              <w:t xml:space="preserve">.  </w:t>
            </w:r>
            <w:r>
              <w:rPr>
                <w:sz w:val="20"/>
                <w:u w:val="single"/>
              </w:rPr>
              <w:t>Section 3.1.3(a)(ii)</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cc58bae0d1c14105914d8eda880bd8bf"/>
      <w:bookmarkStart w:id="58" w:name="zcc58bae0d1c14105914d8eda880bd8bf"/>
      <w:bookmarkEnd w:id="58"/>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t>“</w:t>
            </w:r>
            <w:r>
              <w:rPr>
                <w:b/>
              </w:rPr>
              <w:t>(ii)</w:t>
            </w:r>
          </w:p>
        </w:tc>
        <w:tc>
          <w:tcPr>
            <w:tcW w:w="9906" w:type="dxa"/>
            <w:tcBorders/>
            <w:vAlign w:val="center"/>
          </w:tcPr>
          <w:p>
            <w:pPr>
              <w:pStyle w:val="TableContents"/>
              <w:bidi w:val="0"/>
              <w:spacing w:before="0" w:after="0"/>
              <w:jc w:val="both"/>
              <w:rPr/>
            </w:pPr>
            <w:r>
              <w:rPr/>
              <w:t>Any activities permitted under the Prior Agreements as such agreements are in effect on, with respect to any Collaboration Target, the date the Target is put on the High Interest Target List (or, with respect to [***], the Fourth Amendment Effective Date) and have been disclosed to AstraZeneca (and not as such Prior Agreements may be amended after such date);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9" w:name="z9666cb87516f4af6af4fd6c94676d575"/>
      <w:bookmarkStart w:id="60" w:name="z9666cb87516f4af6af4fd6c94676d575"/>
      <w:bookmarkEnd w:id="60"/>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0"/>
              <w:jc w:val="both"/>
              <w:rPr>
                <w:sz w:val="24"/>
              </w:rPr>
            </w:pPr>
            <w:r>
              <w:rPr>
                <w:b/>
                <w:sz w:val="20"/>
                <w:u w:val="single"/>
              </w:rPr>
              <w:t>ARTICLE 4</w:t>
            </w:r>
            <w:r>
              <w:rPr>
                <w:sz w:val="20"/>
              </w:rPr>
              <w:t xml:space="preserve">.  </w:t>
            </w:r>
            <w:r>
              <w:rPr>
                <w:sz w:val="20"/>
                <w:u w:val="single"/>
              </w:rPr>
              <w:t>ARTICLE 4</w:t>
            </w:r>
            <w:r>
              <w:rPr>
                <w:sz w:val="20"/>
              </w:rPr>
              <w:t xml:space="preserve"> (License Grants; Technology Transfer and Support) is hereby amended in accordance with the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1" w:name="zafb29e78305f41ceae3ab027a0b4e3ac"/>
      <w:bookmarkStart w:id="62" w:name="zafb29e78305f41ceae3ab027a0b4e3ac"/>
      <w:bookmarkEnd w:id="62"/>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sz w:val="20"/>
              </w:rPr>
            </w:pPr>
            <w:r>
              <w:rPr>
                <w:sz w:val="20"/>
                <w:u w:val="single"/>
              </w:rPr>
              <w:t>Section 4.1.1</w:t>
            </w:r>
            <w:r>
              <w:rPr>
                <w:sz w:val="20"/>
              </w:rPr>
              <w:t xml:space="preserve"> (Collaboration Target Development and Commercialization Licenses)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f53e598fea8a42acabdc5719b80c080b"/>
      <w:bookmarkStart w:id="64" w:name="zf53e598fea8a42acabdc5719b80c080b"/>
      <w:bookmarkEnd w:id="64"/>
    </w:p>
    <w:tbl>
      <w:tblPr>
        <w:tblW w:w="5455" w:type="dxa"/>
        <w:jc w:val="left"/>
        <w:tblInd w:w="0" w:type="dxa"/>
        <w:tblLayout w:type="fixed"/>
        <w:tblCellMar>
          <w:top w:w="0" w:type="dxa"/>
          <w:left w:w="0" w:type="dxa"/>
          <w:bottom w:w="0" w:type="dxa"/>
          <w:right w:w="0" w:type="dxa"/>
        </w:tblCellMar>
      </w:tblPr>
      <w:tblGrid>
        <w:gridCol w:w="75"/>
        <w:gridCol w:w="605"/>
        <w:gridCol w:w="4775"/>
      </w:tblGrid>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jc w:val="both"/>
              <w:rPr/>
            </w:pPr>
            <w:r>
              <w:rPr/>
              <w:t>“</w:t>
            </w:r>
            <w:r>
              <w:rPr>
                <w:b/>
              </w:rPr>
              <w:t>4.1.1</w:t>
            </w:r>
          </w:p>
        </w:tc>
        <w:tc>
          <w:tcPr>
            <w:tcW w:w="4775" w:type="dxa"/>
            <w:tcBorders/>
            <w:vAlign w:val="center"/>
          </w:tcPr>
          <w:p>
            <w:pPr>
              <w:pStyle w:val="TableContents"/>
              <w:bidi w:val="0"/>
              <w:spacing w:before="0" w:after="0"/>
              <w:jc w:val="both"/>
              <w:rPr>
                <w:b/>
              </w:rPr>
            </w:pPr>
            <w:r>
              <w:rPr>
                <w:b/>
                <w:u w:val="single"/>
              </w:rPr>
              <w:t>Development and Commercialization Licenses</w:t>
            </w:r>
            <w:r>
              <w:rPr>
                <w:b/>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f480a5d9eddd4858ab55f4ca0572cd86"/>
      <w:bookmarkStart w:id="66" w:name="zf480a5d9eddd4858ab55f4ca0572cd86"/>
      <w:bookmarkEnd w:id="66"/>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b/>
              </w:rPr>
            </w:pPr>
            <w:r>
              <w:rPr>
                <w:b/>
              </w:rPr>
              <w:t>(a)</w:t>
            </w:r>
          </w:p>
        </w:tc>
        <w:tc>
          <w:tcPr>
            <w:tcW w:w="9940" w:type="dxa"/>
            <w:tcBorders/>
            <w:vAlign w:val="center"/>
          </w:tcPr>
          <w:p>
            <w:pPr>
              <w:pStyle w:val="TableContents"/>
              <w:bidi w:val="0"/>
              <w:spacing w:before="0" w:after="0"/>
              <w:jc w:val="both"/>
              <w:rPr>
                <w:sz w:val="24"/>
              </w:rPr>
            </w:pPr>
            <w:r>
              <w:rPr>
                <w:b/>
                <w:sz w:val="20"/>
                <w:u w:val="single"/>
              </w:rPr>
              <w:t>Collaboration Product Development and Commercialization Licenses</w:t>
            </w:r>
            <w:r>
              <w:rPr>
                <w:b/>
                <w:sz w:val="20"/>
              </w:rPr>
              <w:t>.</w:t>
            </w:r>
            <w:r>
              <w:rPr>
                <w:sz w:val="24"/>
              </w:rPr>
              <w:t xml:space="preserve">  </w:t>
            </w:r>
            <w:r>
              <w:rPr>
                <w:sz w:val="20"/>
              </w:rPr>
              <w:t xml:space="preserve">With respect to each Collaboration Product, subject to the terms and conditions of this Agreement, Ionis hereby grants AstraZeneca a worldwide, exclusive (including with regard to Ionis and its Affiliates), perpetual and irrevocable (except as otherwise expressly provided in this Agreement), royalty-bearing, sublicensable (in accordance with </w:t>
            </w:r>
            <w:r>
              <w:rPr>
                <w:sz w:val="20"/>
                <w:u w:val="single"/>
              </w:rPr>
              <w:t>Section 4.1.2</w:t>
            </w:r>
            <w:r>
              <w:rPr>
                <w:sz w:val="20"/>
              </w:rPr>
              <w:t xml:space="preserve"> below) license under the Licensed Technology to Research, Develop, Manufacture, have Manufactured (in accordance with </w:t>
            </w:r>
            <w:r>
              <w:rPr>
                <w:sz w:val="20"/>
                <w:u w:val="single"/>
              </w:rPr>
              <w:t>Section 4.1.2</w:t>
            </w:r>
            <w:r>
              <w:rPr>
                <w:sz w:val="20"/>
              </w:rPr>
              <w:t xml:space="preserve"> below) and Commercialize such Collaboration Product in the Field.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67" w:name="z2be2dac1e3584f8b9a3e7732f2cba6c0"/>
      <w:bookmarkStart w:id="68" w:name="z2be2dac1e3584f8b9a3e7732f2cba6c0"/>
      <w:bookmarkEnd w:id="68"/>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b/>
              </w:rPr>
            </w:pPr>
            <w:r>
              <w:rPr>
                <w:b/>
              </w:rPr>
              <w:t>(b)</w:t>
            </w:r>
          </w:p>
        </w:tc>
        <w:tc>
          <w:tcPr>
            <w:tcW w:w="9925" w:type="dxa"/>
            <w:tcBorders/>
            <w:vAlign w:val="center"/>
          </w:tcPr>
          <w:p>
            <w:pPr>
              <w:pStyle w:val="TableContents"/>
              <w:bidi w:val="0"/>
              <w:spacing w:before="0" w:after="0"/>
              <w:jc w:val="both"/>
              <w:rPr>
                <w:sz w:val="24"/>
              </w:rPr>
            </w:pPr>
            <w:r>
              <w:rPr>
                <w:b/>
                <w:sz w:val="20"/>
                <w:u w:val="single"/>
              </w:rPr>
              <w:t>[***] Product Development and Commercialization Licenses</w:t>
            </w:r>
            <w:r>
              <w:rPr>
                <w:b/>
                <w:sz w:val="20"/>
              </w:rPr>
              <w:t>.</w:t>
            </w:r>
            <w:r>
              <w:rPr>
                <w:sz w:val="24"/>
              </w:rPr>
              <w:t xml:space="preserve">  </w:t>
            </w:r>
            <w:r>
              <w:rPr>
                <w:sz w:val="20"/>
              </w:rPr>
              <w:t>As of the Fourth Amendment Effective Date, with respect to each [***] Product, subject to the terms and conditions of this Agreement, Ionis hereby grants AstraZeneca a worldwide, exclusive (including with regard to Ionis and its Affiliates), perpetual and irrevocable (except as otherwise expressly provided in this Agreement), royalty</w:t>
              <w:noBreakHyphen/>
              <w:t xml:space="preserve">bearing, sublicensable (in accordance with </w:t>
            </w:r>
            <w:r>
              <w:rPr>
                <w:sz w:val="20"/>
                <w:u w:val="single"/>
              </w:rPr>
              <w:t>Section 4.1.2</w:t>
            </w:r>
            <w:r>
              <w:rPr>
                <w:sz w:val="20"/>
              </w:rPr>
              <w:t xml:space="preserve"> below) license under the Licensed Technology to Research, Develop, Manufacture, have Manufactured (in accordance with </w:t>
            </w:r>
            <w:r>
              <w:rPr>
                <w:sz w:val="20"/>
                <w:u w:val="single"/>
              </w:rPr>
              <w:t>Section 4.1.2</w:t>
            </w:r>
            <w:r>
              <w:rPr>
                <w:sz w:val="20"/>
              </w:rPr>
              <w:t xml:space="preserve"> below) and Commercialize such [***] Product in the Field.”;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c5c558b987b540689cbc2f9d5d3afae6"/>
      <w:bookmarkStart w:id="70" w:name="zc5c558b987b540689cbc2f9d5d3afae6"/>
      <w:bookmarkEnd w:id="70"/>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sz w:val="20"/>
              </w:rPr>
            </w:pPr>
            <w:r>
              <w:rPr>
                <w:sz w:val="20"/>
                <w:u w:val="single"/>
              </w:rPr>
              <w:t>Section 4.1.3</w:t>
            </w:r>
            <w:r>
              <w:rPr>
                <w:sz w:val="20"/>
              </w:rPr>
              <w:t xml:space="preserve"> (Consequence of Natural Expiration of this Agreement)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4af459f6c97c4c028237947c5ac433d3"/>
      <w:bookmarkStart w:id="72" w:name="z4af459f6c97c4c028237947c5ac433d3"/>
      <w:bookmarkEnd w:id="72"/>
    </w:p>
    <w:tbl>
      <w:tblPr>
        <w:tblW w:w="10205" w:type="dxa"/>
        <w:jc w:val="left"/>
        <w:tblInd w:w="0" w:type="dxa"/>
        <w:tblLayout w:type="fixed"/>
        <w:tblCellMar>
          <w:top w:w="0" w:type="dxa"/>
          <w:left w:w="0" w:type="dxa"/>
          <w:bottom w:w="0" w:type="dxa"/>
          <w:right w:w="0" w:type="dxa"/>
        </w:tblCellMar>
      </w:tblPr>
      <w:tblGrid>
        <w:gridCol w:w="38"/>
        <w:gridCol w:w="515"/>
        <w:gridCol w:w="9652"/>
      </w:tblGrid>
      <w:tr>
        <w:trPr/>
        <w:tc>
          <w:tcPr>
            <w:tcW w:w="38" w:type="dxa"/>
            <w:tcBorders/>
            <w:vAlign w:val="center"/>
          </w:tcPr>
          <w:p>
            <w:pPr>
              <w:pStyle w:val="TableContents"/>
              <w:bidi w:val="0"/>
              <w:spacing w:before="0" w:after="283"/>
              <w:jc w:val="left"/>
              <w:rPr/>
            </w:pPr>
            <w:r>
              <w:rPr/>
            </w:r>
          </w:p>
        </w:tc>
        <w:tc>
          <w:tcPr>
            <w:tcW w:w="515" w:type="dxa"/>
            <w:tcBorders/>
            <w:vAlign w:val="center"/>
          </w:tcPr>
          <w:p>
            <w:pPr>
              <w:pStyle w:val="TableContents"/>
              <w:bidi w:val="0"/>
              <w:spacing w:before="0" w:after="283"/>
              <w:jc w:val="left"/>
              <w:rPr/>
            </w:pPr>
            <w:r>
              <w:rPr/>
              <w:t>“</w:t>
            </w:r>
            <w:r>
              <w:rPr>
                <w:b/>
              </w:rPr>
              <w:t>4.1.3</w:t>
            </w:r>
          </w:p>
        </w:tc>
        <w:tc>
          <w:tcPr>
            <w:tcW w:w="9652" w:type="dxa"/>
            <w:tcBorders/>
            <w:vAlign w:val="center"/>
          </w:tcPr>
          <w:p>
            <w:pPr>
              <w:pStyle w:val="TableContents"/>
              <w:bidi w:val="0"/>
              <w:spacing w:before="0" w:after="0"/>
              <w:jc w:val="both"/>
              <w:rPr>
                <w:sz w:val="24"/>
              </w:rPr>
            </w:pPr>
            <w:r>
              <w:rPr>
                <w:b/>
                <w:sz w:val="20"/>
                <w:u w:val="single"/>
              </w:rPr>
              <w:t>Consequence of Natural Expiration of this Agreement</w:t>
            </w:r>
            <w:r>
              <w:rPr>
                <w:b/>
                <w:sz w:val="20"/>
              </w:rPr>
              <w:t>.</w:t>
            </w:r>
            <w:r>
              <w:rPr>
                <w:sz w:val="24"/>
              </w:rPr>
              <w:t xml:space="preserve">  </w:t>
            </w:r>
            <w:r>
              <w:rPr>
                <w:sz w:val="20"/>
              </w:rPr>
              <w:t>On a Product</w:t>
              <w:noBreakHyphen/>
              <w:t>by</w:t>
              <w:noBreakHyphen/>
              <w:t>Product basis, if this Agreement expires (</w:t>
            </w:r>
            <w:r>
              <w:rPr>
                <w:sz w:val="20"/>
                <w:u w:val="single"/>
              </w:rPr>
              <w:t>i.e.</w:t>
            </w:r>
            <w:r>
              <w:rPr>
                <w:sz w:val="20"/>
              </w:rPr>
              <w:t xml:space="preserve">, is not terminated early) in a particular country in accordance with </w:t>
            </w:r>
            <w:r>
              <w:rPr>
                <w:sz w:val="20"/>
                <w:u w:val="single"/>
              </w:rPr>
              <w:t>Section 10.1</w:t>
            </w:r>
            <w:r>
              <w:rPr>
                <w:sz w:val="20"/>
              </w:rPr>
              <w:t xml:space="preserve"> then, in addition to the terms set forth in </w:t>
            </w:r>
            <w:r>
              <w:rPr>
                <w:sz w:val="20"/>
                <w:u w:val="single"/>
              </w:rPr>
              <w:t>Section 10.3.1(c)</w:t>
            </w:r>
            <w:r>
              <w:rPr>
                <w:sz w:val="20"/>
              </w:rPr>
              <w:t xml:space="preserve">, </w:t>
            </w:r>
            <w:r>
              <w:rPr>
                <w:sz w:val="20"/>
                <w:u w:val="single"/>
              </w:rPr>
              <w:t>Section 10.3.1(f)</w:t>
            </w:r>
            <w:r>
              <w:rPr>
                <w:sz w:val="20"/>
              </w:rPr>
              <w:t xml:space="preserve">, </w:t>
            </w:r>
            <w:r>
              <w:rPr>
                <w:sz w:val="20"/>
                <w:u w:val="single"/>
              </w:rPr>
              <w:t>Section 10.3.1(g)</w:t>
            </w:r>
            <w:r>
              <w:rPr>
                <w:sz w:val="20"/>
              </w:rPr>
              <w:t xml:space="preserve"> and </w:t>
            </w:r>
            <w:r>
              <w:rPr>
                <w:sz w:val="20"/>
                <w:u w:val="single"/>
              </w:rPr>
              <w:t>Section 10.3.1(h)</w:t>
            </w:r>
            <w:r>
              <w:rPr>
                <w:sz w:val="20"/>
              </w:rPr>
              <w:t xml:space="preserve">, the applicable license under </w:t>
            </w:r>
            <w:r>
              <w:rPr>
                <w:sz w:val="20"/>
                <w:u w:val="single"/>
              </w:rPr>
              <w:t>Section 4.1.1</w:t>
            </w:r>
            <w:r>
              <w:rPr>
                <w:sz w:val="20"/>
              </w:rPr>
              <w:t xml:space="preserve"> to the Licensed Know-How for such Product will automatically convert into a perpetual, non-exclusive, worldwide, royalty-free, fully paid-up, sublicensable license under the Licensed Know-How to Manufacture, Research, Develop and Commercialize the Product that is the subject of such expiration in such country.”;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f4834c6c03f3487eab3e9b1de32a2d1e"/>
      <w:bookmarkStart w:id="74" w:name="zf4834c6c03f3487eab3e9b1de32a2d1e"/>
      <w:bookmarkEnd w:id="74"/>
    </w:p>
    <w:tbl>
      <w:tblPr>
        <w:tblW w:w="9438" w:type="dxa"/>
        <w:jc w:val="left"/>
        <w:tblInd w:w="0" w:type="dxa"/>
        <w:tblLayout w:type="fixed"/>
        <w:tblCellMar>
          <w:top w:w="0" w:type="dxa"/>
          <w:left w:w="0" w:type="dxa"/>
          <w:bottom w:w="0" w:type="dxa"/>
          <w:right w:w="0" w:type="dxa"/>
        </w:tblCellMar>
      </w:tblPr>
      <w:tblGrid>
        <w:gridCol w:w="38"/>
        <w:gridCol w:w="260"/>
        <w:gridCol w:w="914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iii.</w:t>
            </w:r>
          </w:p>
        </w:tc>
        <w:tc>
          <w:tcPr>
            <w:tcW w:w="9140" w:type="dxa"/>
            <w:tcBorders/>
            <w:vAlign w:val="center"/>
          </w:tcPr>
          <w:p>
            <w:pPr>
              <w:pStyle w:val="TableContents"/>
              <w:bidi w:val="0"/>
              <w:spacing w:before="0" w:after="0"/>
              <w:jc w:val="both"/>
              <w:rPr>
                <w:sz w:val="20"/>
              </w:rPr>
            </w:pPr>
            <w:r>
              <w:rPr>
                <w:sz w:val="20"/>
                <w:u w:val="single"/>
              </w:rPr>
              <w:t>Section 4.1.5</w:t>
            </w:r>
            <w:r>
              <w:rPr>
                <w:sz w:val="20"/>
              </w:rPr>
              <w:t xml:space="preserve"> (License Conditions; Limitations)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77833d69f3544ab9ac9ad35f9f076900"/>
      <w:bookmarkStart w:id="76" w:name="z77833d69f3544ab9ac9ad35f9f076900"/>
      <w:bookmarkEnd w:id="76"/>
    </w:p>
    <w:tbl>
      <w:tblPr>
        <w:tblW w:w="10205" w:type="dxa"/>
        <w:jc w:val="left"/>
        <w:tblInd w:w="0" w:type="dxa"/>
        <w:tblLayout w:type="fixed"/>
        <w:tblCellMar>
          <w:top w:w="0" w:type="dxa"/>
          <w:left w:w="0" w:type="dxa"/>
          <w:bottom w:w="0" w:type="dxa"/>
          <w:right w:w="0" w:type="dxa"/>
        </w:tblCellMar>
      </w:tblPr>
      <w:tblGrid>
        <w:gridCol w:w="38"/>
        <w:gridCol w:w="515"/>
        <w:gridCol w:w="9652"/>
      </w:tblGrid>
      <w:tr>
        <w:trPr/>
        <w:tc>
          <w:tcPr>
            <w:tcW w:w="38" w:type="dxa"/>
            <w:tcBorders/>
            <w:vAlign w:val="center"/>
          </w:tcPr>
          <w:p>
            <w:pPr>
              <w:pStyle w:val="TableContents"/>
              <w:bidi w:val="0"/>
              <w:spacing w:before="0" w:after="283"/>
              <w:jc w:val="left"/>
              <w:rPr/>
            </w:pPr>
            <w:r>
              <w:rPr/>
            </w:r>
          </w:p>
        </w:tc>
        <w:tc>
          <w:tcPr>
            <w:tcW w:w="515" w:type="dxa"/>
            <w:tcBorders/>
            <w:vAlign w:val="center"/>
          </w:tcPr>
          <w:p>
            <w:pPr>
              <w:pStyle w:val="TableContents"/>
              <w:bidi w:val="0"/>
              <w:spacing w:before="0" w:after="283"/>
              <w:jc w:val="left"/>
              <w:rPr/>
            </w:pPr>
            <w:r>
              <w:rPr/>
              <w:t>“</w:t>
            </w:r>
            <w:r>
              <w:rPr>
                <w:b/>
              </w:rPr>
              <w:t>4.1.5.</w:t>
            </w:r>
          </w:p>
        </w:tc>
        <w:tc>
          <w:tcPr>
            <w:tcW w:w="9652" w:type="dxa"/>
            <w:tcBorders/>
            <w:vAlign w:val="center"/>
          </w:tcPr>
          <w:p>
            <w:pPr>
              <w:pStyle w:val="TableContents"/>
              <w:bidi w:val="0"/>
              <w:spacing w:before="0" w:after="0"/>
              <w:jc w:val="both"/>
              <w:rPr>
                <w:sz w:val="24"/>
              </w:rPr>
            </w:pPr>
            <w:r>
              <w:rPr>
                <w:b/>
                <w:sz w:val="20"/>
                <w:u w:val="single"/>
              </w:rPr>
              <w:t>License Conditions; Limitations</w:t>
            </w:r>
            <w:r>
              <w:rPr>
                <w:b/>
                <w:sz w:val="20"/>
              </w:rPr>
              <w:t>.</w:t>
            </w:r>
            <w:r>
              <w:rPr>
                <w:sz w:val="24"/>
              </w:rPr>
              <w:t xml:space="preserve">  </w:t>
            </w:r>
            <w:r>
              <w:rPr>
                <w:sz w:val="20"/>
              </w:rPr>
              <w:t xml:space="preserve">Subject to </w:t>
            </w:r>
            <w:r>
              <w:rPr>
                <w:sz w:val="20"/>
                <w:u w:val="single"/>
              </w:rPr>
              <w:t>Section 6.8</w:t>
            </w:r>
            <w:r>
              <w:rPr>
                <w:sz w:val="20"/>
              </w:rPr>
              <w:t xml:space="preserve"> and </w:t>
            </w:r>
            <w:r>
              <w:rPr>
                <w:sz w:val="20"/>
                <w:u w:val="single"/>
              </w:rPr>
              <w:t>Section 6.9</w:t>
            </w:r>
            <w:r>
              <w:rPr>
                <w:sz w:val="20"/>
              </w:rPr>
              <w:t xml:space="preserve">, on a Product-by-Product basis, the licenses granted under </w:t>
            </w:r>
            <w:r>
              <w:rPr>
                <w:sz w:val="20"/>
                <w:u w:val="single"/>
              </w:rPr>
              <w:t>Section 4.1.1</w:t>
            </w:r>
            <w:r>
              <w:rPr>
                <w:sz w:val="20"/>
              </w:rPr>
              <w:t xml:space="preserve"> and the sublicense rights under </w:t>
            </w:r>
            <w:r>
              <w:rPr>
                <w:sz w:val="20"/>
                <w:u w:val="single"/>
              </w:rPr>
              <w:t>Section 4.1.2</w:t>
            </w:r>
            <w:r>
              <w:rPr>
                <w:sz w:val="20"/>
              </w:rPr>
              <w:t xml:space="preserve"> are subject to and limited by (i) the Prior Agreements as such agreements are in effect on, with respect to the Collaboration Products, the date the Collaboration Target was designated as a High Interest Target and placed on the High Interest Target List (or, with respect to [***] Products, the Fourth Amendment Effective Date) and have been disclosed to AstraZeneca prior to such date (and not as such Prior Agreement may be amended thereafter), (ii) the Ionis In-License Agreements as such agreements are in effect on the date identified as Ionis In-License Agreements and added to </w:t>
            </w:r>
            <w:r>
              <w:rPr>
                <w:smallCaps/>
                <w:sz w:val="20"/>
                <w:u w:val="single"/>
              </w:rPr>
              <w:t>Appendix</w:t>
            </w:r>
            <w:r>
              <w:rPr>
                <w:sz w:val="20"/>
                <w:u w:val="single"/>
              </w:rPr>
              <w:t xml:space="preserve"> 3</w:t>
            </w:r>
            <w:r>
              <w:rPr>
                <w:sz w:val="20"/>
              </w:rPr>
              <w:t xml:space="preserve"> as provided in </w:t>
            </w:r>
            <w:r>
              <w:rPr>
                <w:sz w:val="20"/>
                <w:u w:val="single"/>
              </w:rPr>
              <w:t>Section 6.8.5</w:t>
            </w:r>
            <w:r>
              <w:rPr>
                <w:sz w:val="20"/>
              </w:rPr>
              <w:t xml:space="preserve"> (and in the form disclosed to AstraZeneca prior to such date and not as such Ionis In-License Agreements may be amended thereafter unless such amendment is made with AstraZeneca’s prior written consent); and (iii) the granting of, or performance of obligations under, Permitted Licenses.”;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77" w:name="z0cb5f41694d34f42a36457bffbeed52c"/>
      <w:bookmarkStart w:id="78" w:name="z0cb5f41694d34f42a36457bffbeed52c"/>
      <w:bookmarkEnd w:id="78"/>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0"/>
              <w:jc w:val="both"/>
              <w:rPr>
                <w:sz w:val="20"/>
              </w:rPr>
            </w:pPr>
            <w:r>
              <w:rPr>
                <w:sz w:val="20"/>
                <w:u w:val="single"/>
              </w:rPr>
              <w:t>Section 4.2.1</w:t>
            </w:r>
            <w:r>
              <w:rPr>
                <w:sz w:val="20"/>
              </w:rPr>
              <w:t xml:space="preserve"> (Assignment of Ionis Product-Specific Patents; Grant Back to Ionis)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9" w:name="z7a4db4e4263c4396b5dcc14ac35141fa"/>
      <w:bookmarkStart w:id="80" w:name="z7a4db4e4263c4396b5dcc14ac35141fa"/>
      <w:bookmarkEnd w:id="80"/>
    </w:p>
    <w:tbl>
      <w:tblPr>
        <w:tblW w:w="10205" w:type="dxa"/>
        <w:jc w:val="left"/>
        <w:tblInd w:w="0" w:type="dxa"/>
        <w:tblLayout w:type="fixed"/>
        <w:tblCellMar>
          <w:top w:w="0" w:type="dxa"/>
          <w:left w:w="0" w:type="dxa"/>
          <w:bottom w:w="0" w:type="dxa"/>
          <w:right w:w="0" w:type="dxa"/>
        </w:tblCellMar>
      </w:tblPr>
      <w:tblGrid>
        <w:gridCol w:w="38"/>
        <w:gridCol w:w="519"/>
        <w:gridCol w:w="9648"/>
      </w:tblGrid>
      <w:tr>
        <w:trPr/>
        <w:tc>
          <w:tcPr>
            <w:tcW w:w="38" w:type="dxa"/>
            <w:tcBorders/>
            <w:vAlign w:val="center"/>
          </w:tcPr>
          <w:p>
            <w:pPr>
              <w:pStyle w:val="TableContents"/>
              <w:bidi w:val="0"/>
              <w:spacing w:before="0" w:after="283"/>
              <w:jc w:val="left"/>
              <w:rPr/>
            </w:pPr>
            <w:r>
              <w:rPr/>
            </w:r>
          </w:p>
        </w:tc>
        <w:tc>
          <w:tcPr>
            <w:tcW w:w="519" w:type="dxa"/>
            <w:tcBorders/>
            <w:vAlign w:val="center"/>
          </w:tcPr>
          <w:p>
            <w:pPr>
              <w:pStyle w:val="TableContents"/>
              <w:bidi w:val="0"/>
              <w:spacing w:before="0" w:after="283"/>
              <w:jc w:val="left"/>
              <w:rPr/>
            </w:pPr>
            <w:r>
              <w:rPr/>
              <w:t>“</w:t>
            </w:r>
            <w:r>
              <w:rPr>
                <w:b/>
              </w:rPr>
              <w:t>4.2.1.</w:t>
            </w:r>
          </w:p>
        </w:tc>
        <w:tc>
          <w:tcPr>
            <w:tcW w:w="9648" w:type="dxa"/>
            <w:tcBorders/>
            <w:vAlign w:val="center"/>
          </w:tcPr>
          <w:p>
            <w:pPr>
              <w:pStyle w:val="TableContents"/>
              <w:bidi w:val="0"/>
              <w:spacing w:before="0" w:after="0"/>
              <w:jc w:val="both"/>
              <w:rPr/>
            </w:pPr>
            <w:r>
              <w:rPr/>
              <w:t xml:space="preserve">On a Licensed Program-by-Licensed Program basis, at any time after completion of the first Phase 2 Study for the applicable Product from such Licensed Program, after discussion by the IP Managers, Ionis will assign to AstraZeneca (and AstraZeneca will accept from Ionis), Ionis’ ownership interest in all Ionis Product-Specific Patents within the Licensed Patents that are owned by Ionis (whether solely owned or jointly owned with one or more Third Parties); </w:t>
            </w:r>
            <w:r>
              <w:rPr>
                <w:i/>
              </w:rPr>
              <w:t>provided that</w:t>
            </w:r>
            <w:r>
              <w:rPr/>
              <w:t>, if either Party reasonably determines that such assignment would be likely to adversely affect the applicable Licensed Patent (including diminishing the scope, term, validity or enforceability of such Licensed Patent), then, [***]”;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837e5e89f2164c89a6c1abc0a387c554"/>
      <w:bookmarkStart w:id="82" w:name="z837e5e89f2164c89a6c1abc0a387c554"/>
      <w:bookmarkEnd w:id="82"/>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0"/>
              <w:jc w:val="both"/>
              <w:rPr>
                <w:sz w:val="20"/>
              </w:rPr>
            </w:pPr>
            <w:r>
              <w:rPr>
                <w:sz w:val="20"/>
                <w:u w:val="single"/>
              </w:rPr>
              <w:t>ARTICLE 4</w:t>
            </w:r>
            <w:r>
              <w:rPr>
                <w:sz w:val="20"/>
              </w:rPr>
              <w:t xml:space="preserve"> (License Grants; Technology Transfer and Support) is hereby amended by inserting after </w:t>
            </w:r>
            <w:r>
              <w:rPr>
                <w:sz w:val="20"/>
                <w:u w:val="single"/>
              </w:rPr>
              <w:t>Section 4.8</w:t>
            </w:r>
            <w:r>
              <w:rPr>
                <w:sz w:val="20"/>
              </w:rPr>
              <w:t xml:space="preserve"> (Technology Transfer) the following new </w:t>
            </w:r>
            <w:r>
              <w:rPr>
                <w:sz w:val="20"/>
                <w:u w:val="single"/>
              </w:rPr>
              <w:t>Sections 4.9</w:t>
            </w:r>
            <w:r>
              <w:rPr>
                <w:sz w:val="20"/>
              </w:rPr>
              <w:t xml:space="preserve">, </w:t>
            </w:r>
            <w:r>
              <w:rPr>
                <w:sz w:val="20"/>
                <w:u w:val="single"/>
              </w:rPr>
              <w:t xml:space="preserve">4.10 </w:t>
            </w:r>
            <w:r>
              <w:rPr>
                <w:sz w:val="20"/>
              </w:rPr>
              <w:t xml:space="preserve">and </w:t>
            </w:r>
            <w:r>
              <w:rPr>
                <w:sz w:val="20"/>
                <w:u w:val="single"/>
              </w:rPr>
              <w:t>4.11</w:t>
            </w:r>
            <w:r>
              <w:rPr>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fe413730b4074e74aa1ec4c181e2ae54"/>
      <w:bookmarkStart w:id="84" w:name="zfe413730b4074e74aa1ec4c181e2ae54"/>
      <w:bookmarkEnd w:id="84"/>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pPr>
            <w:r>
              <w:rPr/>
            </w:r>
          </w:p>
        </w:tc>
        <w:tc>
          <w:tcPr>
            <w:tcW w:w="331" w:type="dxa"/>
            <w:tcBorders/>
            <w:vAlign w:val="center"/>
          </w:tcPr>
          <w:p>
            <w:pPr>
              <w:pStyle w:val="TableContents"/>
              <w:bidi w:val="0"/>
              <w:spacing w:before="0" w:after="283"/>
              <w:jc w:val="left"/>
              <w:rPr/>
            </w:pPr>
            <w:r>
              <w:rPr/>
              <w:t>“</w:t>
            </w:r>
            <w:r>
              <w:rPr>
                <w:b/>
              </w:rPr>
              <w:t>4.9</w:t>
            </w:r>
          </w:p>
        </w:tc>
        <w:tc>
          <w:tcPr>
            <w:tcW w:w="9836" w:type="dxa"/>
            <w:tcBorders/>
            <w:vAlign w:val="center"/>
          </w:tcPr>
          <w:p>
            <w:pPr>
              <w:pStyle w:val="TableContents"/>
              <w:bidi w:val="0"/>
              <w:spacing w:before="0" w:after="0"/>
              <w:jc w:val="both"/>
              <w:rPr>
                <w:sz w:val="24"/>
              </w:rPr>
            </w:pPr>
            <w:r>
              <w:rPr>
                <w:b/>
                <w:sz w:val="20"/>
                <w:u w:val="single"/>
              </w:rPr>
              <w:t>Lead [***] Compound Technology Transfer</w:t>
            </w:r>
            <w:r>
              <w:rPr>
                <w:sz w:val="20"/>
              </w:rPr>
              <w:t xml:space="preserve">.  With respect to the Lead [***] Compound, after the Fourth Amendment Effective Date, Ionis will deliver to AstraZeneca the Licensed Know-How identified in the technology transfer plan attached hereto as </w:t>
            </w:r>
            <w:r>
              <w:rPr>
                <w:smallCaps/>
                <w:sz w:val="20"/>
                <w:u w:val="single"/>
              </w:rPr>
              <w:t>Appendix 9</w:t>
            </w:r>
            <w:r>
              <w:rPr>
                <w:sz w:val="20"/>
              </w:rPr>
              <w:t xml:space="preserve">, which such Licensed Know-How comprises the Licensed Know-How described in </w:t>
            </w:r>
            <w:r>
              <w:rPr>
                <w:sz w:val="20"/>
                <w:u w:val="single"/>
              </w:rPr>
              <w:t>Section 4.9.1</w:t>
            </w:r>
            <w:r>
              <w:rPr>
                <w:sz w:val="20"/>
              </w:rPr>
              <w:t xml:space="preserve"> and </w:t>
            </w:r>
            <w:r>
              <w:rPr>
                <w:sz w:val="20"/>
                <w:u w:val="single"/>
              </w:rPr>
              <w:t>Section 4.9.2</w:t>
            </w:r>
            <w:r>
              <w:rPr>
                <w:sz w:val="20"/>
              </w:rPr>
              <w:t xml:space="preserve">.  Within 30 days following the Fourth Amendment Effective Date or as otherwise agreed by the Parties, designated representatives of each Party will meet to identify any Licensed Know-How related to the Lead [***] Compound that Ionis did not initially provide hereunder and the timeline(s) for the transfer thereof from Ionis to AstraZeneca.  If any additional Licensed Know-How related to the Lead [***] Compound was identified, then the Parties will amend </w:t>
            </w:r>
            <w:r>
              <w:rPr>
                <w:smallCaps/>
                <w:sz w:val="20"/>
                <w:u w:val="single"/>
              </w:rPr>
              <w:t>Appendix</w:t>
            </w:r>
            <w:r>
              <w:rPr>
                <w:sz w:val="20"/>
                <w:u w:val="single"/>
              </w:rPr>
              <w:t xml:space="preserve"> 9</w:t>
            </w:r>
            <w:r>
              <w:rPr>
                <w:sz w:val="20"/>
              </w:rPr>
              <w:t xml:space="preserve"> to include such Licensed-Know How and timeline(s) promptly after such meeting.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9bcb9f65aea74b5d8b7bb3b76f87e1f2"/>
      <w:bookmarkStart w:id="86" w:name="z9bcb9f65aea74b5d8b7bb3b76f87e1f2"/>
      <w:bookmarkEnd w:id="86"/>
    </w:p>
    <w:tbl>
      <w:tblPr>
        <w:tblW w:w="10205" w:type="dxa"/>
        <w:jc w:val="left"/>
        <w:tblInd w:w="0" w:type="dxa"/>
        <w:tblLayout w:type="fixed"/>
        <w:tblCellMar>
          <w:top w:w="0" w:type="dxa"/>
          <w:left w:w="0" w:type="dxa"/>
          <w:bottom w:w="0" w:type="dxa"/>
          <w:right w:w="0" w:type="dxa"/>
        </w:tblCellMar>
      </w:tblPr>
      <w:tblGrid>
        <w:gridCol w:w="75"/>
        <w:gridCol w:w="500"/>
        <w:gridCol w:w="9630"/>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b/>
              </w:rPr>
            </w:pPr>
            <w:r>
              <w:rPr>
                <w:b/>
              </w:rPr>
              <w:t>4.9.1</w:t>
            </w:r>
          </w:p>
        </w:tc>
        <w:tc>
          <w:tcPr>
            <w:tcW w:w="9630" w:type="dxa"/>
            <w:tcBorders/>
            <w:vAlign w:val="center"/>
          </w:tcPr>
          <w:p>
            <w:pPr>
              <w:pStyle w:val="TableContents"/>
              <w:bidi w:val="0"/>
              <w:spacing w:before="0" w:after="0"/>
              <w:jc w:val="both"/>
              <w:rPr>
                <w:sz w:val="24"/>
              </w:rPr>
            </w:pPr>
            <w:r>
              <w:rPr>
                <w:b/>
                <w:sz w:val="20"/>
                <w:u w:val="single"/>
              </w:rPr>
              <w:t>Licensed Know-How – Generally</w:t>
            </w:r>
            <w:r>
              <w:rPr>
                <w:b/>
                <w:sz w:val="20"/>
              </w:rPr>
              <w:t>.</w:t>
            </w:r>
            <w:r>
              <w:rPr>
                <w:sz w:val="24"/>
              </w:rPr>
              <w:t xml:space="preserve">  </w:t>
            </w:r>
            <w:r>
              <w:rPr>
                <w:sz w:val="20"/>
              </w:rPr>
              <w:t xml:space="preserve">Copies of Licensed Know-How (other than the Ionis Manufacturing and Analytical Know-How) in the Field in Ionis’ possession, for use solely in accordance with the licenses granted under </w:t>
            </w:r>
            <w:r>
              <w:rPr>
                <w:sz w:val="20"/>
                <w:u w:val="single"/>
              </w:rPr>
              <w:t>Section 4.1.1(b)</w:t>
            </w:r>
            <w:r>
              <w:rPr>
                <w:sz w:val="20"/>
              </w:rPr>
              <w:t xml:space="preserve"> and </w:t>
            </w:r>
            <w:r>
              <w:rPr>
                <w:sz w:val="20"/>
                <w:u w:val="single"/>
              </w:rPr>
              <w:t>Section 4.3</w:t>
            </w:r>
            <w:r>
              <w:rPr>
                <w:sz w:val="20"/>
              </w:rPr>
              <w:t>, to AstraZeneca together with any regulatory documentation (including drafts, if any) related to the Lead [***] Compound.  To assist with the transfer of such Licensed Know-How, Ionis will provide [***] consulting support hours to AstraZeneca during normal business hours in furtherance of such transfer, including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87" w:name="z9c53944031ad43869062d38ce939b8a5"/>
      <w:bookmarkStart w:id="88" w:name="z9c53944031ad43869062d38ce939b8a5"/>
      <w:bookmarkEnd w:id="88"/>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b/>
              </w:rPr>
            </w:pPr>
            <w:r>
              <w:rPr>
                <w:b/>
              </w:rPr>
              <w:t>4.9.2</w:t>
            </w:r>
          </w:p>
        </w:tc>
        <w:tc>
          <w:tcPr>
            <w:tcW w:w="9667" w:type="dxa"/>
            <w:tcBorders/>
            <w:vAlign w:val="center"/>
          </w:tcPr>
          <w:p>
            <w:pPr>
              <w:pStyle w:val="TableContents"/>
              <w:bidi w:val="0"/>
              <w:spacing w:before="0" w:after="0"/>
              <w:jc w:val="both"/>
              <w:rPr>
                <w:sz w:val="24"/>
              </w:rPr>
            </w:pPr>
            <w:r>
              <w:rPr>
                <w:b/>
                <w:sz w:val="20"/>
                <w:u w:val="single"/>
              </w:rPr>
              <w:t>Ionis Manufacturing and Analytical Know-How</w:t>
            </w:r>
            <w:r>
              <w:rPr>
                <w:b/>
                <w:sz w:val="20"/>
              </w:rPr>
              <w:t>.</w:t>
            </w:r>
            <w:r>
              <w:rPr>
                <w:sz w:val="24"/>
              </w:rPr>
              <w:t xml:space="preserve">  </w:t>
            </w:r>
            <w:r>
              <w:rPr>
                <w:sz w:val="20"/>
              </w:rPr>
              <w:t xml:space="preserve">Solely for use by AstraZeneca, its Affiliates or a Third Party acting on AstraZeneca’s behalf to Manufacture API for [***] Products for AstraZeneca, its Affiliates or Sublicensees, in AstraZeneca’s own, or an Affiliate’s, or up to two mutually agreed Licensed CMO’s manufacturing facility, copies of the Ionis Manufacturing and Analytical Know-How relating to the Lead [***] Compound in Ionis’ possession, which is necessary for the exercise by AstraZeneca, its Affiliates or a Third Party of the Manufacturing rights granted under </w:t>
            </w:r>
            <w:r>
              <w:rPr>
                <w:sz w:val="20"/>
                <w:u w:val="single"/>
              </w:rPr>
              <w:t>Section 4.1.1(b)</w:t>
            </w:r>
            <w:r>
              <w:rPr>
                <w:sz w:val="20"/>
              </w:rPr>
              <w:t>.  Ionis will provide [***] consulting support hours to AstraZeneca during normal business hours in furtherance of such transfer, including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4a44e891c7d34468b635ec0e75b544d5"/>
      <w:bookmarkStart w:id="90" w:name="z4a44e891c7d34468b635ec0e75b544d5"/>
      <w:bookmarkEnd w:id="90"/>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4.10</w:t>
            </w:r>
          </w:p>
        </w:tc>
        <w:tc>
          <w:tcPr>
            <w:tcW w:w="9727" w:type="dxa"/>
            <w:tcBorders/>
            <w:vAlign w:val="center"/>
          </w:tcPr>
          <w:p>
            <w:pPr>
              <w:pStyle w:val="TableContents"/>
              <w:bidi w:val="0"/>
              <w:spacing w:before="0" w:after="0"/>
              <w:jc w:val="both"/>
              <w:rPr>
                <w:sz w:val="24"/>
              </w:rPr>
            </w:pPr>
            <w:r>
              <w:rPr>
                <w:b/>
                <w:sz w:val="20"/>
                <w:u w:val="single"/>
              </w:rPr>
              <w:t>Technology Transfer for [***]</w:t>
            </w:r>
            <w:r>
              <w:rPr>
                <w:sz w:val="20"/>
              </w:rPr>
              <w:t xml:space="preserve">.  AstraZeneca may request that Ionis deliver Licensed Know-How with respect to [***] pursuant to a written technology transfer plan to be mutually agreed by Ionis and AstraZeneca. Promptly following such AstraZeneca request, designated representatives of each Party will meet to identify Licensed Know-How in Ionis’ possession that has not previously been provided hereunder and is related to the [***] that are the subject of AstraZeneca’s request.  Any such technology transfer plan for delivery of Licensed Know-How pursuant to this </w:t>
            </w:r>
            <w:r>
              <w:rPr>
                <w:sz w:val="20"/>
                <w:u w:val="single"/>
              </w:rPr>
              <w:t>Section 4.10</w:t>
            </w:r>
            <w:r>
              <w:rPr>
                <w:sz w:val="20"/>
              </w:rPr>
              <w:t xml:space="preserve"> will correspond to delivery of the Licensed Know-How as described in </w:t>
            </w:r>
            <w:r>
              <w:rPr>
                <w:sz w:val="20"/>
                <w:u w:val="single"/>
              </w:rPr>
              <w:t>Section 4.9.1</w:t>
            </w:r>
            <w:r>
              <w:rPr>
                <w:sz w:val="20"/>
              </w:rPr>
              <w:t xml:space="preserve"> and </w:t>
            </w:r>
            <w:r>
              <w:rPr>
                <w:sz w:val="20"/>
                <w:u w:val="single"/>
              </w:rPr>
              <w:t>Section 4.9.2</w:t>
            </w:r>
            <w:r>
              <w:rPr>
                <w:sz w:val="20"/>
              </w:rPr>
              <w:t xml:space="preserve"> but with respect to such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634e6daf3764486abfcd375b15a19659"/>
      <w:bookmarkStart w:id="92" w:name="z634e6daf3764486abfcd375b15a19659"/>
      <w:bookmarkEnd w:id="92"/>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b/>
              </w:rPr>
            </w:pPr>
            <w:r>
              <w:rPr>
                <w:b/>
              </w:rPr>
              <w:t>4.11</w:t>
            </w:r>
          </w:p>
        </w:tc>
        <w:tc>
          <w:tcPr>
            <w:tcW w:w="9727" w:type="dxa"/>
            <w:tcBorders/>
            <w:vAlign w:val="center"/>
          </w:tcPr>
          <w:p>
            <w:pPr>
              <w:pStyle w:val="TableContents"/>
              <w:bidi w:val="0"/>
              <w:spacing w:before="0" w:after="0"/>
              <w:jc w:val="both"/>
              <w:rPr>
                <w:sz w:val="24"/>
              </w:rPr>
            </w:pPr>
            <w:r>
              <w:rPr>
                <w:b/>
                <w:sz w:val="20"/>
                <w:u w:val="single"/>
              </w:rPr>
              <w:t>Cooperation Plans</w:t>
            </w:r>
            <w:r>
              <w:rPr>
                <w:sz w:val="20"/>
              </w:rPr>
              <w:t>.  Either Party may propose to the other Party a program of coordinated activities between the Parties to support progress of one or more of the Licensed Programs.  If the other Party, at its sole discretion, determines to engage with the requesting Party in such proposed activities, then each Alliance Manager will confer with the applicable representatives from its respective Party and, thereafter, the Alliance Managers will prepare and agree upon a written cooperation plan that details the activities agreed for such engagement between the Parties (each such plan, a “</w:t>
            </w:r>
            <w:r>
              <w:rPr>
                <w:b/>
                <w:i/>
                <w:sz w:val="20"/>
              </w:rPr>
              <w:t>Cooperation Plan</w:t>
            </w:r>
            <w:r>
              <w:rPr>
                <w:sz w:val="20"/>
              </w:rPr>
              <w:t>”).  Each Party will use Commercially Reasonable Efforts to conduct its designated activities under such Cooperation Plan in accordance with the timelines specified therein and at its own expense, unless otherwise specified in writing in such Cooperation Plan.”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3b80b6f6f28c4d4ea04f0740224cba4f"/>
      <w:bookmarkStart w:id="94" w:name="z3b80b6f6f28c4d4ea04f0740224cba4f"/>
      <w:bookmarkEnd w:id="94"/>
    </w:p>
    <w:tbl>
      <w:tblPr>
        <w:tblW w:w="9483" w:type="dxa"/>
        <w:jc w:val="left"/>
        <w:tblInd w:w="0" w:type="dxa"/>
        <w:tblLayout w:type="fixed"/>
        <w:tblCellMar>
          <w:top w:w="0" w:type="dxa"/>
          <w:left w:w="0" w:type="dxa"/>
          <w:bottom w:w="0" w:type="dxa"/>
          <w:right w:w="0" w:type="dxa"/>
        </w:tblCellMar>
      </w:tblPr>
      <w:tblGrid>
        <w:gridCol w:w="38"/>
        <w:gridCol w:w="200"/>
        <w:gridCol w:w="924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d.</w:t>
            </w:r>
          </w:p>
        </w:tc>
        <w:tc>
          <w:tcPr>
            <w:tcW w:w="9245" w:type="dxa"/>
            <w:tcBorders/>
            <w:vAlign w:val="center"/>
          </w:tcPr>
          <w:p>
            <w:pPr>
              <w:pStyle w:val="TableContents"/>
              <w:bidi w:val="0"/>
              <w:spacing w:before="0" w:after="0"/>
              <w:jc w:val="both"/>
              <w:rPr>
                <w:sz w:val="24"/>
              </w:rPr>
            </w:pPr>
            <w:r>
              <w:rPr>
                <w:b/>
                <w:sz w:val="20"/>
                <w:u w:val="single"/>
              </w:rPr>
              <w:t>Section 5.1</w:t>
            </w:r>
            <w:r>
              <w:rPr>
                <w:sz w:val="20"/>
              </w:rPr>
              <w:t xml:space="preserve">.  </w:t>
            </w:r>
            <w:r>
              <w:rPr>
                <w:sz w:val="20"/>
                <w:u w:val="single"/>
              </w:rPr>
              <w:t>Section 5.1</w:t>
            </w:r>
            <w:r>
              <w:rPr>
                <w:sz w:val="20"/>
              </w:rPr>
              <w:t xml:space="preserve"> (AstraZeneca Diligence) is hereby deleted in its entirety and replaced with the following:</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95" w:name="z294792a00e5b493b880577a5b2155e46"/>
      <w:bookmarkStart w:id="96" w:name="z294792a00e5b493b880577a5b2155e46"/>
      <w:bookmarkEnd w:id="96"/>
    </w:p>
    <w:tbl>
      <w:tblPr>
        <w:tblW w:w="10205" w:type="dxa"/>
        <w:jc w:val="left"/>
        <w:tblInd w:w="0" w:type="dxa"/>
        <w:tblLayout w:type="fixed"/>
        <w:tblCellMar>
          <w:top w:w="0" w:type="dxa"/>
          <w:left w:w="0" w:type="dxa"/>
          <w:bottom w:w="0" w:type="dxa"/>
          <w:right w:w="0" w:type="dxa"/>
        </w:tblCellMar>
      </w:tblPr>
      <w:tblGrid>
        <w:gridCol w:w="75"/>
        <w:gridCol w:w="328"/>
        <w:gridCol w:w="9802"/>
      </w:tblGrid>
      <w:tr>
        <w:trPr/>
        <w:tc>
          <w:tcPr>
            <w:tcW w:w="75"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r>
              <w:rPr>
                <w:b/>
              </w:rPr>
              <w:t>5.1</w:t>
            </w:r>
          </w:p>
        </w:tc>
        <w:tc>
          <w:tcPr>
            <w:tcW w:w="9802" w:type="dxa"/>
            <w:tcBorders/>
            <w:vAlign w:val="center"/>
          </w:tcPr>
          <w:p>
            <w:pPr>
              <w:pStyle w:val="TableContents"/>
              <w:bidi w:val="0"/>
              <w:spacing w:before="0" w:after="0"/>
              <w:jc w:val="both"/>
              <w:rPr>
                <w:sz w:val="24"/>
              </w:rPr>
            </w:pPr>
            <w:r>
              <w:rPr>
                <w:b/>
                <w:sz w:val="20"/>
                <w:u w:val="single"/>
              </w:rPr>
              <w:t>AstraZeneca Diligence</w:t>
            </w:r>
            <w:r>
              <w:rPr>
                <w:b/>
                <w:sz w:val="20"/>
              </w:rPr>
              <w:t>.</w:t>
            </w:r>
            <w:r>
              <w:rPr>
                <w:sz w:val="24"/>
              </w:rPr>
              <w:t xml:space="preserve">  </w:t>
            </w:r>
            <w:r>
              <w:rPr>
                <w:sz w:val="20"/>
              </w:rPr>
              <w:t>On a Licensed Program-by-Licensed Program basis, (a) with respect to the Collaboration Products, commencing on the Collaboration Program Exercise Date for the applicable Collaboration Product, and (b) with respect to the [***] Products, commencing on the Fourth Amendment Effective Date, except as expressly provided otherwise in this Agreement, AstraZeneca is solely responsible for the Development, Manufacture and Commercialization of the Collaboration Products and the [***] Products, and will be solely responsible for all costs associated therewith.  With respect to each Licensed Program, AstraZeneca will use Commercially Reasonable Efforts (i) to Develop a Product and to seek Approval for such Product for use in humans [***], (ii) following Approval, to Commercialize such Product for use in humans [***], (iii) to Develop and Commercialize a Product for use in humans worldwide (outside of [***]) to the extent consistent with the global commercialization strategy and efforts AstraZeneca would use for AstraZeneca’s similar products in the same franchise, and (iv) to Develop and Commercialize each Product substantially in accordance with the applicable IPP.”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361ef64e1bb84c66bd864d6dd9b7cdbe"/>
      <w:bookmarkStart w:id="98" w:name="z361ef64e1bb84c66bd864d6dd9b7cdbe"/>
      <w:bookmarkEnd w:id="98"/>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0"/>
              <w:jc w:val="both"/>
              <w:rPr>
                <w:sz w:val="24"/>
              </w:rPr>
            </w:pPr>
            <w:r>
              <w:rPr>
                <w:b/>
                <w:sz w:val="20"/>
                <w:u w:val="single"/>
              </w:rPr>
              <w:t>Section 5.1.1</w:t>
            </w:r>
            <w:r>
              <w:rPr>
                <w:sz w:val="20"/>
              </w:rPr>
              <w:t xml:space="preserve">.  The first sentence of </w:t>
            </w:r>
            <w:r>
              <w:rPr>
                <w:sz w:val="20"/>
                <w:u w:val="single"/>
              </w:rPr>
              <w:t>Section 5.1.1</w:t>
            </w:r>
            <w:r>
              <w:rPr>
                <w:sz w:val="20"/>
              </w:rPr>
              <w:t xml:space="preserve"> (Specific Performance Milestone Events) is hereby deleted in its entirety and replaced with the following:</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On a Licensed Program-by-Licensed Program basis, within [***] after the Collaboration Program Exercise Date (or, with respect to the [***] Licensed Program, [***] after the Fourth Amendment Effective Date), AstraZeneca will identify and provide to Ionis specific performance milestone events (“</w:t>
      </w:r>
      <w:r>
        <w:rPr>
          <w:rFonts w:ascii="Times New Roman" w:hAnsi="Times New Roman"/>
          <w:b/>
          <w:i/>
          <w:color w:val="000000"/>
          <w:sz w:val="20"/>
        </w:rPr>
        <w:t>Specific Performance Milestone Events</w:t>
      </w:r>
      <w:r>
        <w:rPr>
          <w:rFonts w:ascii="Times New Roman" w:hAnsi="Times New Roman"/>
          <w:color w:val="000000"/>
          <w:sz w:val="20"/>
        </w:rPr>
        <w:t>”) for the first Product from such Licensed Program and the [***] based on the information then available to AstraZeneca and its then-current practices, and in all cases consistent with AstraZeneca’s then current internal specific performance milestone event metrics for the applicable AstraZeneca franchise.”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827d39342c8f4b90b2777479f9df0579"/>
      <w:bookmarkStart w:id="100" w:name="z827d39342c8f4b90b2777479f9df0579"/>
      <w:bookmarkEnd w:id="100"/>
    </w:p>
    <w:tbl>
      <w:tblPr>
        <w:tblW w:w="9873" w:type="dxa"/>
        <w:jc w:val="left"/>
        <w:tblInd w:w="0" w:type="dxa"/>
        <w:tblLayout w:type="fixed"/>
        <w:tblCellMar>
          <w:top w:w="0" w:type="dxa"/>
          <w:left w:w="0" w:type="dxa"/>
          <w:bottom w:w="0" w:type="dxa"/>
          <w:right w:w="0" w:type="dxa"/>
        </w:tblCellMar>
      </w:tblPr>
      <w:tblGrid>
        <w:gridCol w:w="38"/>
        <w:gridCol w:w="155"/>
        <w:gridCol w:w="9680"/>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pPr>
            <w:r>
              <w:rPr/>
              <w:t>f.</w:t>
            </w:r>
          </w:p>
        </w:tc>
        <w:tc>
          <w:tcPr>
            <w:tcW w:w="9680" w:type="dxa"/>
            <w:tcBorders/>
            <w:vAlign w:val="center"/>
          </w:tcPr>
          <w:p>
            <w:pPr>
              <w:pStyle w:val="TableContents"/>
              <w:bidi w:val="0"/>
              <w:spacing w:before="0" w:after="0"/>
              <w:jc w:val="both"/>
              <w:rPr>
                <w:sz w:val="24"/>
              </w:rPr>
            </w:pPr>
            <w:r>
              <w:rPr>
                <w:b/>
                <w:sz w:val="20"/>
                <w:u w:val="single"/>
              </w:rPr>
              <w:t>Section 5.1.2</w:t>
            </w:r>
            <w:r>
              <w:rPr>
                <w:sz w:val="20"/>
              </w:rPr>
              <w:t xml:space="preserve">.  </w:t>
            </w:r>
            <w:r>
              <w:rPr>
                <w:sz w:val="20"/>
                <w:u w:val="single"/>
              </w:rPr>
              <w:t>Section 5.1.2</w:t>
            </w:r>
            <w:r>
              <w:rPr>
                <w:sz w:val="20"/>
              </w:rPr>
              <w:t xml:space="preserve"> (Integrated Product Plans) is hereby deleted in its entirety and replaced with the following:</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For each Licensed Program, AstraZeneca will prepare a global integrated Product plan or a comparable document consistent with AstraZeneca’s then current internal practices for AstraZeneca’s internal programs outlining key aspects of the Development and Commercialization of the Product from such Licensed Program (each plan or other such document, an “</w:t>
      </w:r>
      <w:r>
        <w:rPr>
          <w:rFonts w:ascii="Times New Roman" w:hAnsi="Times New Roman"/>
          <w:b/>
          <w:i/>
          <w:color w:val="000000"/>
          <w:sz w:val="20"/>
        </w:rPr>
        <w:t>Integrated Product Plan</w:t>
      </w:r>
      <w:r>
        <w:rPr>
          <w:rFonts w:ascii="Times New Roman" w:hAnsi="Times New Roman"/>
          <w:color w:val="000000"/>
          <w:sz w:val="20"/>
        </w:rPr>
        <w:t>” or “</w:t>
      </w:r>
      <w:r>
        <w:rPr>
          <w:rFonts w:ascii="Times New Roman" w:hAnsi="Times New Roman"/>
          <w:b/>
          <w:i/>
          <w:color w:val="000000"/>
          <w:sz w:val="20"/>
        </w:rPr>
        <w:t>IPP</w:t>
      </w:r>
      <w:r>
        <w:rPr>
          <w:rFonts w:ascii="Times New Roman" w:hAnsi="Times New Roman"/>
          <w:color w:val="000000"/>
          <w:sz w:val="20"/>
        </w:rPr>
        <w:t xml:space="preserve">”), including high level aspects of regulatory strategy and submission dates for necessary filings with applicable Regulatory Authorities to support Approval of such Product.  On a Product-by-Product basis, AstraZeneca will prepare each IPP no later than [***] for the relevant Product, and the IPP will contain high level information consistent with AstraZeneca’s development and commercialization plans for its similar products at similar stages of development and commercialization in the same AstraZeneca franchise,  including without limitation a status update, timelines, goals, and the criteria AstraZeneca will use to make internal decisions, but excluding information that AstraZeneca is required not to share even under confidentiality pursuant to restrictions imposed by any Third Party.  Once AstraZeneca has prepared an IPP, AstraZeneca will update it consistent with AstraZeneca’s standard practice consistently applied (including if the IPP is updated and presented to an AstraZeneca internal committee) but at least Annually and will provide such updates promptly to Ionis.  AstraZeneca and Ionis will meet (through the JSC or as the Parties may otherwise agree) on a yearly basis to discuss the draft of the IPP and AstraZeneca will consider, in good faith, any proposals and comments made by Ionis for incorporation in the IPP.  AstraZeneca and Ionis will [***], to discuss the status of execution of the IPP.  Additionally, subject to AstraZeneca’s confidentiality obligations to any Third Party, AstraZeneca will provide more frequent updates in the case of extraordinary material events (e.g., approvals, regulatory feedback, etc.) consistent with AstraZeneca’s standard practice consistently applied.  For the avoidance of doubt, information provided by AstraZeneca to Ionis pursuant to this </w:t>
      </w:r>
      <w:r>
        <w:rPr>
          <w:rFonts w:ascii="Times New Roman" w:hAnsi="Times New Roman"/>
          <w:color w:val="000000"/>
          <w:sz w:val="20"/>
          <w:u w:val="single"/>
        </w:rPr>
        <w:t>Section 5.1.2</w:t>
      </w:r>
      <w:r>
        <w:rPr>
          <w:rFonts w:ascii="Times New Roman" w:hAnsi="Times New Roman"/>
          <w:color w:val="000000"/>
          <w:sz w:val="20"/>
        </w:rPr>
        <w:t xml:space="preserve"> shall be treated by Ionis as AstraZeneca’s Confidential Information subject to the provisions in </w:t>
      </w:r>
      <w:r>
        <w:rPr>
          <w:rFonts w:ascii="Times New Roman" w:hAnsi="Times New Roman"/>
          <w:color w:val="000000"/>
          <w:sz w:val="20"/>
          <w:u w:val="single"/>
        </w:rPr>
        <w:t>ARTICLE 11</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01" w:name="z56b3d865b2bb4c76b033a27be642f7c5"/>
      <w:bookmarkStart w:id="102" w:name="z56b3d865b2bb4c76b033a27be642f7c5"/>
      <w:bookmarkEnd w:id="102"/>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g.</w:t>
            </w:r>
          </w:p>
        </w:tc>
        <w:tc>
          <w:tcPr>
            <w:tcW w:w="9967" w:type="dxa"/>
            <w:tcBorders/>
            <w:vAlign w:val="center"/>
          </w:tcPr>
          <w:p>
            <w:pPr>
              <w:pStyle w:val="TableContents"/>
              <w:bidi w:val="0"/>
              <w:spacing w:before="0" w:after="0"/>
              <w:jc w:val="both"/>
              <w:rPr>
                <w:sz w:val="24"/>
              </w:rPr>
            </w:pPr>
            <w:r>
              <w:rPr>
                <w:b/>
                <w:sz w:val="20"/>
                <w:u w:val="single"/>
              </w:rPr>
              <w:t>Section 5.3.3</w:t>
            </w:r>
            <w:r>
              <w:rPr>
                <w:sz w:val="20"/>
              </w:rPr>
              <w:t xml:space="preserve">.  The following sentence is hereby added as the second sentence of </w:t>
            </w:r>
            <w:r>
              <w:rPr>
                <w:sz w:val="20"/>
                <w:u w:val="single"/>
              </w:rPr>
              <w:t>Section 5.3.3</w:t>
            </w:r>
            <w:r>
              <w:rPr>
                <w:sz w:val="20"/>
              </w:rPr>
              <w:t xml:space="preserve"> (Assistance with Regulatory Filings):</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After the Fourth Amendment Effective Date, upon AstraZeneca’s written request [***], Ionis will prepare the reports that, with respect to [***] Products, pertain to any Research and Development conducted by Ionis, as required for inclusion in the IND for such [***] Product.”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af389c524a4c4351b56c6bc6ad6b5ff5"/>
      <w:bookmarkStart w:id="104" w:name="zaf389c524a4c4351b56c6bc6ad6b5ff5"/>
      <w:bookmarkEnd w:id="104"/>
    </w:p>
    <w:tbl>
      <w:tblPr>
        <w:tblW w:w="7773" w:type="dxa"/>
        <w:jc w:val="left"/>
        <w:tblInd w:w="0" w:type="dxa"/>
        <w:tblLayout w:type="fixed"/>
        <w:tblCellMar>
          <w:top w:w="0" w:type="dxa"/>
          <w:left w:w="0" w:type="dxa"/>
          <w:bottom w:w="0" w:type="dxa"/>
          <w:right w:w="0" w:type="dxa"/>
        </w:tblCellMar>
      </w:tblPr>
      <w:tblGrid>
        <w:gridCol w:w="38"/>
        <w:gridCol w:w="200"/>
        <w:gridCol w:w="75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h.</w:t>
            </w:r>
          </w:p>
        </w:tc>
        <w:tc>
          <w:tcPr>
            <w:tcW w:w="7535" w:type="dxa"/>
            <w:tcBorders/>
            <w:vAlign w:val="center"/>
          </w:tcPr>
          <w:p>
            <w:pPr>
              <w:pStyle w:val="TableContents"/>
              <w:bidi w:val="0"/>
              <w:spacing w:before="0" w:after="0"/>
              <w:jc w:val="both"/>
              <w:rPr>
                <w:sz w:val="24"/>
              </w:rPr>
            </w:pPr>
            <w:r>
              <w:rPr>
                <w:b/>
                <w:sz w:val="20"/>
                <w:u w:val="single"/>
              </w:rPr>
              <w:t>Section 5.4.1</w:t>
            </w:r>
            <w:r>
              <w:rPr>
                <w:sz w:val="20"/>
              </w:rPr>
              <w:t xml:space="preserve">.  </w:t>
            </w:r>
            <w:r>
              <w:rPr>
                <w:sz w:val="20"/>
                <w:u w:val="single"/>
              </w:rPr>
              <w:t>Section 5.4.1</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5" w:name="z5d427e7e30254760adb4ee6c02284db4"/>
      <w:bookmarkStart w:id="106" w:name="z5d427e7e30254760adb4ee6c02284db4"/>
      <w:bookmarkEnd w:id="106"/>
    </w:p>
    <w:tbl>
      <w:tblPr>
        <w:tblW w:w="10205" w:type="dxa"/>
        <w:jc w:val="left"/>
        <w:tblInd w:w="0" w:type="dxa"/>
        <w:tblLayout w:type="fixed"/>
        <w:tblCellMar>
          <w:top w:w="0" w:type="dxa"/>
          <w:left w:w="0" w:type="dxa"/>
          <w:bottom w:w="0" w:type="dxa"/>
          <w:right w:w="0" w:type="dxa"/>
        </w:tblCellMar>
      </w:tblPr>
      <w:tblGrid>
        <w:gridCol w:w="38"/>
        <w:gridCol w:w="504"/>
        <w:gridCol w:w="9663"/>
      </w:tblGrid>
      <w:tr>
        <w:trPr/>
        <w:tc>
          <w:tcPr>
            <w:tcW w:w="38" w:type="dxa"/>
            <w:tcBorders/>
            <w:vAlign w:val="center"/>
          </w:tcPr>
          <w:p>
            <w:pPr>
              <w:pStyle w:val="TableContents"/>
              <w:bidi w:val="0"/>
              <w:spacing w:before="0" w:after="283"/>
              <w:jc w:val="left"/>
              <w:rPr/>
            </w:pPr>
            <w:r>
              <w:rPr/>
            </w:r>
          </w:p>
        </w:tc>
        <w:tc>
          <w:tcPr>
            <w:tcW w:w="504" w:type="dxa"/>
            <w:tcBorders/>
            <w:vAlign w:val="center"/>
          </w:tcPr>
          <w:p>
            <w:pPr>
              <w:pStyle w:val="TableContents"/>
              <w:bidi w:val="0"/>
              <w:spacing w:before="0" w:after="283"/>
              <w:jc w:val="left"/>
              <w:rPr/>
            </w:pPr>
            <w:r>
              <w:rPr/>
              <w:t>“</w:t>
            </w:r>
            <w:r>
              <w:rPr>
                <w:b/>
              </w:rPr>
              <w:t>5.4.1.</w:t>
            </w:r>
          </w:p>
        </w:tc>
        <w:tc>
          <w:tcPr>
            <w:tcW w:w="9663" w:type="dxa"/>
            <w:tcBorders/>
            <w:vAlign w:val="center"/>
          </w:tcPr>
          <w:p>
            <w:pPr>
              <w:pStyle w:val="TableContents"/>
              <w:bidi w:val="0"/>
              <w:spacing w:before="0" w:after="0"/>
              <w:jc w:val="both"/>
              <w:rPr/>
            </w:pPr>
            <w:r>
              <w:rPr/>
              <w:t>Ionis maintains an internal database that includes information regarding the tolerability of its drug compounds, individually and as a class, including information discovered during pre-clinical and clinical development (the “</w:t>
            </w:r>
            <w:r>
              <w:rPr>
                <w:b/>
                <w:i/>
              </w:rPr>
              <w:t>Ionis Internal ASO Safety Database</w:t>
            </w:r>
            <w:r>
              <w:rPr/>
              <w:t xml:space="preserve">”).  In an effort to maximize understanding of the safety profile and pharmacokinetics of Ionis compounds, AstraZeneca will cooperate in connection with populating the Ionis Internal ASO Safety Database, </w:t>
            </w:r>
            <w:r>
              <w:rPr>
                <w:i/>
              </w:rPr>
              <w:t xml:space="preserve">provided that </w:t>
            </w:r>
            <w:r>
              <w:rPr/>
              <w:t xml:space="preserve">AstraZeneca’s obligations pursuant to this </w:t>
            </w:r>
            <w:r>
              <w:rPr>
                <w:u w:val="single"/>
              </w:rPr>
              <w:t>Section 5.4.1</w:t>
            </w:r>
            <w:r>
              <w:rPr/>
              <w:t xml:space="preserve"> are subject to AstraZeneca’s compliance with Applicable Laws and obligations to Third Parties pursuant to binding contractual commitments entered into with respect to the conduct of any Clinical Study of any Licensed Product and, in particular, AstraZeneca will not be required to disclose any information in contravention of Applicable Laws or such binding contractual commitments relating to data privacy.  With respect to any binding contractual commitments entered into after the Fourth Amendment Effective Date with any Third Party in connection with any Clinical Study of a Licensed Product, AstraZeneca will use Commercially Reasonable Efforts to ensure that such agreements include provisions permitting the transfer of safety data to Ionis in accordance with this </w:t>
            </w:r>
            <w:r>
              <w:rPr>
                <w:u w:val="single"/>
              </w:rPr>
              <w:t>Section 5.4.1</w:t>
            </w:r>
            <w:r>
              <w:rPr/>
              <w:t xml:space="preserve">.  AstraZeneca will provide Ionis with aggregate safety reports related to Products licensed by AstraZeneca under this Agreement, including annual Development Safety Update Reports (DSURs) as soon as practicable following the date such information is available to AstraZeneca (but not later than [***] after AstraZeneca’s receipt of such information).  In addition, with respect to Products, AstraZeneca will provide Ionis with copies of the safety sections of any final clinical study reports following completion of each Clinical Study. The Parties will discuss in good faith [***].  Furthermore, AstraZeneca will answer any follow-up questions reasonably requested by Ionis to conduct analyses to keep Ionis and its partners informed regarding class generic properties of ASOs, including with respect to safety.  All information disclosed by AstraZeneca to Ionis pursuant to this </w:t>
            </w:r>
            <w:r>
              <w:rPr>
                <w:u w:val="single"/>
              </w:rPr>
              <w:t>Section 5.4.1</w:t>
            </w:r>
            <w:r>
              <w:rPr/>
              <w:t xml:space="preserve"> will be AstraZeneca Confidential Information; </w:t>
            </w:r>
            <w:r>
              <w:rPr>
                <w:i/>
              </w:rPr>
              <w:t>provided, however</w:t>
            </w:r>
            <w:r>
              <w:rPr/>
              <w:t xml:space="preserve">, that so long as Ionis does not disclose the identity of a Product (or the relevant Target) or AstraZeneca’s identity, Ionis may disclose any such AstraZeneca Confidential Information to Regulatory Authorities and Ionis’ other partners pursuant to </w:t>
            </w:r>
            <w:r>
              <w:rPr>
                <w:u w:val="single"/>
              </w:rPr>
              <w:t>Section 5.4.2</w:t>
            </w:r>
            <w:r>
              <w:rPr/>
              <w:t xml:space="preserve"> below if such information is regarding class generic properties of ASOs and, with respect to Ionis’ partners, such partners have agreed to a similar provision permitting the disclosure of their Confidential Information relating to ASOs to Ionis’ partners.  AstraZeneca will deliver all such information to Ionis for the Ionis Internal ASO Safety Database to Ionis Pharmaceuticals, Inc., 2855 Gazelle Court, Carlsbad, California 92010, Attention: Chief Medical Officer (or to such other address/contact designated in writing by Ionis).  AstraZeneca will also cause its Affiliates and Sublicensees to comply with this </w:t>
            </w:r>
            <w:r>
              <w:rPr>
                <w:u w:val="single"/>
              </w:rPr>
              <w:t>Section 5.4.1</w:t>
            </w: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07" w:name="z2ee18f3c170d434e9a45891366a1fe42"/>
      <w:bookmarkStart w:id="108" w:name="z2ee18f3c170d434e9a45891366a1fe42"/>
      <w:bookmarkEnd w:id="108"/>
    </w:p>
    <w:tbl>
      <w:tblPr>
        <w:tblW w:w="9048" w:type="dxa"/>
        <w:jc w:val="left"/>
        <w:tblInd w:w="0" w:type="dxa"/>
        <w:tblLayout w:type="fixed"/>
        <w:tblCellMar>
          <w:top w:w="0" w:type="dxa"/>
          <w:left w:w="0" w:type="dxa"/>
          <w:bottom w:w="0" w:type="dxa"/>
          <w:right w:w="0" w:type="dxa"/>
        </w:tblCellMar>
      </w:tblPr>
      <w:tblGrid>
        <w:gridCol w:w="38"/>
        <w:gridCol w:w="140"/>
        <w:gridCol w:w="887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8870" w:type="dxa"/>
            <w:tcBorders/>
            <w:vAlign w:val="center"/>
          </w:tcPr>
          <w:p>
            <w:pPr>
              <w:pStyle w:val="TableContents"/>
              <w:bidi w:val="0"/>
              <w:spacing w:before="0" w:after="0"/>
              <w:jc w:val="both"/>
              <w:rPr>
                <w:sz w:val="24"/>
              </w:rPr>
            </w:pPr>
            <w:r>
              <w:rPr>
                <w:b/>
                <w:sz w:val="20"/>
                <w:u w:val="single"/>
              </w:rPr>
              <w:t>Section 5.5.1</w:t>
            </w:r>
            <w:r>
              <w:rPr>
                <w:sz w:val="20"/>
              </w:rPr>
              <w:t xml:space="preserve">.  </w:t>
            </w:r>
            <w:r>
              <w:rPr>
                <w:sz w:val="20"/>
                <w:u w:val="single"/>
              </w:rPr>
              <w:t>Section 5.5.1</w:t>
            </w:r>
            <w:r>
              <w:rPr>
                <w:sz w:val="20"/>
              </w:rPr>
              <w:t xml:space="preserve"> (Initial Supply to AstraZeneca) is hereby amended in accordance with the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9" w:name="z6971314422984e839df1e7e69926137a"/>
      <w:bookmarkStart w:id="110" w:name="z6971314422984e839df1e7e69926137a"/>
      <w:bookmarkEnd w:id="110"/>
    </w:p>
    <w:tbl>
      <w:tblPr>
        <w:tblW w:w="6138" w:type="dxa"/>
        <w:jc w:val="left"/>
        <w:tblInd w:w="0" w:type="dxa"/>
        <w:tblLayout w:type="fixed"/>
        <w:tblCellMar>
          <w:top w:w="0" w:type="dxa"/>
          <w:left w:w="0" w:type="dxa"/>
          <w:bottom w:w="0" w:type="dxa"/>
          <w:right w:w="0" w:type="dxa"/>
        </w:tblCellMar>
      </w:tblPr>
      <w:tblGrid>
        <w:gridCol w:w="38"/>
        <w:gridCol w:w="140"/>
        <w:gridCol w:w="596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5960" w:type="dxa"/>
            <w:tcBorders/>
            <w:vAlign w:val="center"/>
          </w:tcPr>
          <w:p>
            <w:pPr>
              <w:pStyle w:val="TableContents"/>
              <w:bidi w:val="0"/>
              <w:spacing w:before="0" w:after="0"/>
              <w:jc w:val="both"/>
              <w:rPr/>
            </w:pPr>
            <w:r>
              <w:rPr/>
              <w:t xml:space="preserve">The following sentence is added to the end of </w:t>
            </w:r>
            <w:r>
              <w:rPr>
                <w:u w:val="single"/>
              </w:rPr>
              <w:t>Section 5.5.1(a)</w:t>
            </w:r>
            <w:r>
              <w:rPr/>
              <w:t>:</w:t>
            </w:r>
          </w:p>
        </w:tc>
      </w:tr>
    </w:tbl>
    <w:p>
      <w:pPr>
        <w:pStyle w:val="TextBody"/>
        <w:bidi w:val="0"/>
        <w:spacing w:before="0" w:after="0"/>
        <w:jc w:val="left"/>
        <w:rPr/>
      </w:pPr>
      <w:r>
        <w:rPr/>
      </w:r>
    </w:p>
    <w:p>
      <w:pPr>
        <w:pStyle w:val="TextBody"/>
        <w:bidi w:val="0"/>
        <w:spacing w:before="0" w:after="0"/>
        <w:ind w:left="1080" w:right="0" w:hanging="0"/>
        <w:jc w:val="both"/>
        <w:rPr>
          <w:color w:val="000000"/>
        </w:rPr>
      </w:pPr>
      <w:r>
        <w:rPr>
          <w:color w:val="000000"/>
        </w:rPr>
        <w:t>“</w:t>
      </w:r>
      <w:r>
        <w:rPr>
          <w:rFonts w:ascii="Times New Roman" w:hAnsi="Times New Roman"/>
          <w:color w:val="000000"/>
          <w:sz w:val="20"/>
        </w:rPr>
        <w:t>In support of AstraZeneca’s Development of [***] Products, Ionis will manufacture and supply [***] of API for a [***] Product.”; and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1998f0d4dff5442199974728451f570a"/>
      <w:bookmarkStart w:id="112" w:name="z1998f0d4dff5442199974728451f570a"/>
      <w:bookmarkEnd w:id="112"/>
    </w:p>
    <w:tbl>
      <w:tblPr>
        <w:tblW w:w="6835" w:type="dxa"/>
        <w:jc w:val="left"/>
        <w:tblInd w:w="0" w:type="dxa"/>
        <w:tblLayout w:type="fixed"/>
        <w:tblCellMar>
          <w:top w:w="0" w:type="dxa"/>
          <w:left w:w="0" w:type="dxa"/>
          <w:bottom w:w="0" w:type="dxa"/>
          <w:right w:w="0" w:type="dxa"/>
        </w:tblCellMar>
      </w:tblPr>
      <w:tblGrid>
        <w:gridCol w:w="75"/>
        <w:gridCol w:w="200"/>
        <w:gridCol w:w="65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ii.</w:t>
            </w:r>
          </w:p>
        </w:tc>
        <w:tc>
          <w:tcPr>
            <w:tcW w:w="6560" w:type="dxa"/>
            <w:tcBorders/>
            <w:vAlign w:val="center"/>
          </w:tcPr>
          <w:p>
            <w:pPr>
              <w:pStyle w:val="TableContents"/>
              <w:bidi w:val="0"/>
              <w:spacing w:before="0" w:after="0"/>
              <w:jc w:val="both"/>
              <w:rPr>
                <w:sz w:val="20"/>
              </w:rPr>
            </w:pPr>
            <w:r>
              <w:rPr>
                <w:sz w:val="20"/>
                <w:u w:val="single"/>
              </w:rPr>
              <w:t>Section 5.5.1(d)</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0c4952c19de943c0a96ab9d39732b4a6"/>
      <w:bookmarkStart w:id="114" w:name="z0c4952c19de943c0a96ab9d39732b4a6"/>
      <w:bookmarkEnd w:id="114"/>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pPr>
            <w:r>
              <w:rPr/>
            </w:r>
          </w:p>
        </w:tc>
        <w:tc>
          <w:tcPr>
            <w:tcW w:w="271" w:type="dxa"/>
            <w:tcBorders/>
            <w:vAlign w:val="center"/>
          </w:tcPr>
          <w:p>
            <w:pPr>
              <w:pStyle w:val="TableContents"/>
              <w:bidi w:val="0"/>
              <w:spacing w:before="0" w:after="283"/>
              <w:jc w:val="left"/>
              <w:rPr/>
            </w:pPr>
            <w:r>
              <w:rPr/>
              <w:t>“</w:t>
            </w:r>
            <w:r>
              <w:rPr>
                <w:b/>
              </w:rPr>
              <w:t>(d)</w:t>
            </w:r>
          </w:p>
        </w:tc>
        <w:tc>
          <w:tcPr>
            <w:tcW w:w="9896" w:type="dxa"/>
            <w:tcBorders/>
            <w:vAlign w:val="center"/>
          </w:tcPr>
          <w:p>
            <w:pPr>
              <w:pStyle w:val="TableContents"/>
              <w:bidi w:val="0"/>
              <w:spacing w:before="0" w:after="0"/>
              <w:jc w:val="both"/>
              <w:rPr/>
            </w:pPr>
            <w:r>
              <w:rPr/>
              <w:t xml:space="preserve">After AstraZeneca’s exercise of its Collaboration Program License Right for the applicable Collaboration Product (or, with respect to the [***] Licensed Program, after the Fourth Amendment Effective Date), in addition to the supply set forth in this </w:t>
            </w:r>
            <w:r>
              <w:rPr>
                <w:u w:val="single"/>
              </w:rPr>
              <w:t>Section 5.5</w:t>
            </w:r>
            <w:r>
              <w:rPr/>
              <w:t>, Ionis will sell to AstraZeneca, if AstraZeneca desires, any other inventory of API and finished drug Product in Ionis’ possession at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ae93e08702264695911102388d49a636"/>
      <w:bookmarkStart w:id="116" w:name="zae93e08702264695911102388d49a636"/>
      <w:bookmarkEnd w:id="116"/>
    </w:p>
    <w:tbl>
      <w:tblPr>
        <w:tblW w:w="9063" w:type="dxa"/>
        <w:jc w:val="left"/>
        <w:tblInd w:w="0" w:type="dxa"/>
        <w:tblLayout w:type="fixed"/>
        <w:tblCellMar>
          <w:top w:w="0" w:type="dxa"/>
          <w:left w:w="0" w:type="dxa"/>
          <w:bottom w:w="0" w:type="dxa"/>
          <w:right w:w="0" w:type="dxa"/>
        </w:tblCellMar>
      </w:tblPr>
      <w:tblGrid>
        <w:gridCol w:w="38"/>
        <w:gridCol w:w="140"/>
        <w:gridCol w:w="888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0"/>
              <w:jc w:val="both"/>
              <w:rPr>
                <w:sz w:val="24"/>
              </w:rPr>
            </w:pPr>
            <w:r>
              <w:rPr>
                <w:b/>
                <w:sz w:val="20"/>
                <w:u w:val="single"/>
              </w:rPr>
              <w:t>Section 6.1</w:t>
            </w:r>
            <w:r>
              <w:rPr>
                <w:sz w:val="20"/>
              </w:rPr>
              <w:t xml:space="preserve">.  </w:t>
            </w:r>
            <w:r>
              <w:rPr>
                <w:sz w:val="20"/>
                <w:u w:val="single"/>
              </w:rPr>
              <w:t>Section 6.1</w:t>
            </w:r>
            <w:r>
              <w:rPr>
                <w:sz w:val="20"/>
              </w:rPr>
              <w:t xml:space="preserve"> (Up-Front Fee) is hereby amended to include the following at the end of this section:</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In addition, within [***] following the Fourth Amendment Effective Date, AstraZeneca will pay Ionis an up</w:t>
        <w:noBreakHyphen/>
        <w:t xml:space="preserve">front fee of $25,000,000 in consideration for the exclusive license granted under </w:t>
      </w:r>
      <w:r>
        <w:rPr>
          <w:rFonts w:ascii="Times New Roman" w:hAnsi="Times New Roman"/>
          <w:color w:val="000000"/>
          <w:sz w:val="20"/>
          <w:u w:val="single"/>
        </w:rPr>
        <w:t>Section 4.1.1</w:t>
      </w:r>
      <w:r>
        <w:rPr>
          <w:rFonts w:ascii="Times New Roman" w:hAnsi="Times New Roman"/>
          <w:color w:val="000000"/>
          <w:sz w:val="20"/>
        </w:rPr>
        <w:t xml:space="preserve"> to AstraZeneca for [***] Products.”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17" w:name="zd71b385657cf4dd7bfba0d838573d745"/>
      <w:bookmarkStart w:id="118" w:name="zd71b385657cf4dd7bfba0d838573d745"/>
      <w:bookmarkEnd w:id="11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k.</w:t>
            </w:r>
          </w:p>
        </w:tc>
        <w:tc>
          <w:tcPr>
            <w:tcW w:w="9967" w:type="dxa"/>
            <w:tcBorders/>
            <w:vAlign w:val="center"/>
          </w:tcPr>
          <w:p>
            <w:pPr>
              <w:pStyle w:val="TableContents"/>
              <w:bidi w:val="0"/>
              <w:spacing w:before="0" w:after="0"/>
              <w:jc w:val="both"/>
              <w:rPr>
                <w:sz w:val="24"/>
              </w:rPr>
            </w:pPr>
            <w:r>
              <w:rPr>
                <w:b/>
                <w:sz w:val="20"/>
                <w:u w:val="single"/>
              </w:rPr>
              <w:t>Section 6.4</w:t>
            </w:r>
            <w:r>
              <w:rPr>
                <w:sz w:val="20"/>
              </w:rPr>
              <w:t xml:space="preserve">.  The Parties hereby agree that, notwithstanding the provisions of </w:t>
            </w:r>
            <w:r>
              <w:rPr>
                <w:sz w:val="20"/>
                <w:u w:val="single"/>
              </w:rPr>
              <w:t>Section 6.4</w:t>
            </w:r>
            <w:r>
              <w:rPr>
                <w:sz w:val="20"/>
              </w:rPr>
              <w:t xml:space="preserve"> (Milestone Payments for Achievement of Milestone Events by a Product) of the Agreement, solely with respect to the Licensed Programs for the Fourth Amendment Products, </w:t>
            </w:r>
            <w:r>
              <w:rPr>
                <w:smallCaps/>
                <w:sz w:val="20"/>
                <w:u w:val="single"/>
              </w:rPr>
              <w:t>Table</w:t>
            </w:r>
            <w:r>
              <w:rPr>
                <w:sz w:val="20"/>
                <w:u w:val="single"/>
              </w:rPr>
              <w:t xml:space="preserve"> 1</w:t>
            </w:r>
            <w:r>
              <w:rPr>
                <w:sz w:val="20"/>
              </w:rPr>
              <w:t xml:space="preserve"> is hereby amended to read as follows: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9" w:name="z08122862343941db9f6b9d957c63fa02"/>
      <w:bookmarkStart w:id="120" w:name="z08122862343941db9f6b9d957c63fa02"/>
      <w:bookmarkEnd w:id="120"/>
    </w:p>
    <w:tbl>
      <w:tblPr>
        <w:tblW w:w="7495" w:type="dxa"/>
        <w:jc w:val="left"/>
        <w:tblInd w:w="-15" w:type="dxa"/>
        <w:tblLayout w:type="fixed"/>
        <w:tblCellMar>
          <w:top w:w="28" w:type="dxa"/>
          <w:left w:w="28" w:type="dxa"/>
          <w:bottom w:w="28" w:type="dxa"/>
          <w:right w:w="28" w:type="dxa"/>
        </w:tblCellMar>
      </w:tblPr>
      <w:tblGrid>
        <w:gridCol w:w="1055"/>
        <w:gridCol w:w="1580"/>
        <w:gridCol w:w="1580"/>
        <w:gridCol w:w="1700"/>
        <w:gridCol w:w="1580"/>
      </w:tblGrid>
      <w:tr>
        <w:trPr/>
        <w:tc>
          <w:tcPr>
            <w:tcW w:w="749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smallCaps/>
                <w:u w:val="single"/>
              </w:rPr>
              <w:t>Table</w:t>
            </w:r>
            <w:r>
              <w:rPr>
                <w:b/>
                <w:u w:val="single"/>
              </w:rPr>
              <w:t xml:space="preserve"> 1</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 xml:space="preserve">Product </w:t>
            </w:r>
          </w:p>
          <w:p>
            <w:pPr>
              <w:pStyle w:val="TableContents"/>
              <w:bidi w:val="0"/>
              <w:spacing w:before="0" w:after="0"/>
              <w:jc w:val="center"/>
              <w:rPr>
                <w:b/>
              </w:rPr>
            </w:pPr>
            <w:r>
              <w:rPr>
                <w:b/>
              </w:rPr>
              <w:t xml:space="preserve">Milestone </w:t>
            </w:r>
          </w:p>
          <w:p>
            <w:pPr>
              <w:pStyle w:val="TableContents"/>
              <w:bidi w:val="0"/>
              <w:spacing w:before="0" w:after="0"/>
              <w:jc w:val="center"/>
              <w:rPr>
                <w:b/>
              </w:rPr>
            </w:pPr>
            <w:r>
              <w:rPr>
                <w:b/>
              </w:rPr>
              <w:t>Event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 xml:space="preserve">PNPLA3 </w:t>
            </w:r>
          </w:p>
          <w:p>
            <w:pPr>
              <w:pStyle w:val="TableContents"/>
              <w:bidi w:val="0"/>
              <w:spacing w:before="0" w:after="0"/>
              <w:jc w:val="center"/>
              <w:rPr>
                <w:b/>
              </w:rPr>
            </w:pPr>
            <w:r>
              <w:rPr>
                <w:b/>
              </w:rPr>
              <w:t xml:space="preserve">Product </w:t>
            </w:r>
          </w:p>
          <w:p>
            <w:pPr>
              <w:pStyle w:val="TableContents"/>
              <w:bidi w:val="0"/>
              <w:spacing w:before="0" w:after="0"/>
              <w:jc w:val="center"/>
              <w:rPr>
                <w:b/>
              </w:rPr>
            </w:pPr>
            <w:r>
              <w:rPr>
                <w:b/>
              </w:rPr>
              <w:t xml:space="preserve">Milestone </w:t>
            </w:r>
          </w:p>
          <w:p>
            <w:pPr>
              <w:pStyle w:val="TableContents"/>
              <w:bidi w:val="0"/>
              <w:spacing w:before="0" w:after="0"/>
              <w:jc w:val="center"/>
              <w:rPr>
                <w:b/>
              </w:rPr>
            </w:pPr>
            <w:r>
              <w:rPr>
                <w:b/>
              </w:rPr>
              <w:t>Event Payment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 xml:space="preserve">APOL1 </w:t>
            </w:r>
          </w:p>
          <w:p>
            <w:pPr>
              <w:pStyle w:val="TableContents"/>
              <w:bidi w:val="0"/>
              <w:spacing w:before="0" w:after="0"/>
              <w:jc w:val="center"/>
              <w:rPr>
                <w:b/>
              </w:rPr>
            </w:pPr>
            <w:r>
              <w:rPr>
                <w:b/>
              </w:rPr>
              <w:t xml:space="preserve">Product </w:t>
            </w:r>
          </w:p>
          <w:p>
            <w:pPr>
              <w:pStyle w:val="TableContents"/>
              <w:bidi w:val="0"/>
              <w:spacing w:before="0" w:after="0"/>
              <w:jc w:val="center"/>
              <w:rPr>
                <w:b/>
              </w:rPr>
            </w:pPr>
            <w:r>
              <w:rPr>
                <w:b/>
              </w:rPr>
              <w:t xml:space="preserve">Milestone </w:t>
            </w:r>
          </w:p>
          <w:p>
            <w:pPr>
              <w:pStyle w:val="TableContents"/>
              <w:bidi w:val="0"/>
              <w:spacing w:before="0" w:after="0"/>
              <w:jc w:val="center"/>
              <w:rPr>
                <w:b/>
              </w:rPr>
            </w:pPr>
            <w:r>
              <w:rPr>
                <w:b/>
              </w:rPr>
              <w:t>Event Payment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 xml:space="preserve">[***] </w:t>
            </w:r>
            <w:r>
              <w:rPr>
                <w:b/>
              </w:rPr>
              <w:t xml:space="preserve">Product </w:t>
            </w:r>
          </w:p>
          <w:p>
            <w:pPr>
              <w:pStyle w:val="TableContents"/>
              <w:bidi w:val="0"/>
              <w:spacing w:before="0" w:after="0"/>
              <w:jc w:val="center"/>
              <w:rPr>
                <w:b/>
              </w:rPr>
            </w:pPr>
            <w:r>
              <w:rPr>
                <w:b/>
              </w:rPr>
              <w:t xml:space="preserve">Milestone </w:t>
            </w:r>
          </w:p>
          <w:p>
            <w:pPr>
              <w:pStyle w:val="TableContents"/>
              <w:bidi w:val="0"/>
              <w:spacing w:before="0" w:after="0"/>
              <w:jc w:val="center"/>
              <w:rPr>
                <w:b/>
              </w:rPr>
            </w:pPr>
            <w:r>
              <w:rPr>
                <w:b/>
              </w:rPr>
              <w:t>Event Payment*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 xml:space="preserve">[***] </w:t>
            </w:r>
            <w:r>
              <w:rPr>
                <w:b/>
              </w:rPr>
              <w:t xml:space="preserve">Product </w:t>
            </w:r>
          </w:p>
          <w:p>
            <w:pPr>
              <w:pStyle w:val="TableContents"/>
              <w:bidi w:val="0"/>
              <w:spacing w:before="0" w:after="0"/>
              <w:jc w:val="center"/>
              <w:rPr>
                <w:b/>
              </w:rPr>
            </w:pPr>
            <w:r>
              <w:rPr>
                <w:b/>
              </w:rPr>
              <w:t xml:space="preserve">Milestone </w:t>
            </w:r>
          </w:p>
          <w:p>
            <w:pPr>
              <w:pStyle w:val="TableContents"/>
              <w:bidi w:val="0"/>
              <w:spacing w:before="0" w:after="0"/>
              <w:jc w:val="center"/>
              <w:rPr>
                <w:b/>
              </w:rPr>
            </w:pPr>
            <w:r>
              <w:rPr>
                <w:b/>
              </w:rPr>
              <w:t>Event Payment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tcBorders>
            <w:tcMar>
              <w:top w:w="0" w:type="dxa"/>
              <w:right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tcBorders>
            <w:tcMar>
              <w:top w:w="0" w:type="dxa"/>
              <w:right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70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*With respect to the [***] Licensed Program, the Parties hereby agree that </w:t>
      </w:r>
      <w:r>
        <w:rPr>
          <w:rFonts w:ascii="Times New Roman" w:hAnsi="Times New Roman"/>
          <w:color w:val="000000"/>
          <w:sz w:val="20"/>
          <w:u w:val="single"/>
        </w:rPr>
        <w:t>Table 1a</w:t>
      </w:r>
      <w:r>
        <w:rPr>
          <w:rFonts w:ascii="Times New Roman" w:hAnsi="Times New Roman"/>
          <w:color w:val="000000"/>
          <w:sz w:val="20"/>
        </w:rPr>
        <w:t xml:space="preserve"> (Development Milestones) of the [***] Letter Agreement is deleted in its entirety and replaced with new </w:t>
      </w:r>
      <w:r>
        <w:rPr>
          <w:rFonts w:ascii="Times New Roman" w:hAnsi="Times New Roman"/>
          <w:smallCaps/>
          <w:color w:val="000000"/>
          <w:sz w:val="20"/>
          <w:u w:val="single"/>
        </w:rPr>
        <w:t>Table 1a</w:t>
      </w:r>
      <w:r>
        <w:rPr>
          <w:rFonts w:ascii="Times New Roman" w:hAnsi="Times New Roman"/>
          <w:color w:val="000000"/>
          <w:sz w:val="20"/>
        </w:rPr>
        <w:t xml:space="preserve"> ([***] Licensed Program Development Milestones) set forth in </w:t>
      </w:r>
      <w:r>
        <w:rPr>
          <w:rFonts w:ascii="Times New Roman" w:hAnsi="Times New Roman"/>
          <w:smallCaps/>
          <w:color w:val="000000"/>
          <w:sz w:val="20"/>
          <w:u w:val="single"/>
        </w:rPr>
        <w:t>Schedule 6.4</w:t>
      </w:r>
      <w:r>
        <w:rPr>
          <w:rFonts w:ascii="Times New Roman" w:hAnsi="Times New Roman"/>
          <w:color w:val="000000"/>
          <w:sz w:val="20"/>
        </w:rPr>
        <w:t>, attached to the Fourth Amendment.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1" w:name="z7f9d4382ac00483589cce5edd24cfd7f"/>
      <w:bookmarkStart w:id="122" w:name="z7f9d4382ac00483589cce5edd24cfd7f"/>
      <w:bookmarkEnd w:id="122"/>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l.</w:t>
            </w:r>
          </w:p>
        </w:tc>
        <w:tc>
          <w:tcPr>
            <w:tcW w:w="10027" w:type="dxa"/>
            <w:tcBorders/>
            <w:vAlign w:val="center"/>
          </w:tcPr>
          <w:p>
            <w:pPr>
              <w:pStyle w:val="TableContents"/>
              <w:bidi w:val="0"/>
              <w:spacing w:before="0" w:after="0"/>
              <w:jc w:val="both"/>
              <w:rPr>
                <w:sz w:val="24"/>
              </w:rPr>
            </w:pPr>
            <w:r>
              <w:rPr>
                <w:b/>
                <w:sz w:val="20"/>
                <w:u w:val="single"/>
              </w:rPr>
              <w:t>Section 6.7.1</w:t>
            </w:r>
            <w:r>
              <w:rPr>
                <w:sz w:val="20"/>
              </w:rPr>
              <w:t xml:space="preserve">.  The Parties hereby agree that, notwithstanding the provisions of </w:t>
            </w:r>
            <w:r>
              <w:rPr>
                <w:sz w:val="20"/>
                <w:u w:val="single"/>
              </w:rPr>
              <w:t>Section 6.7.1</w:t>
            </w:r>
            <w:r>
              <w:rPr>
                <w:sz w:val="20"/>
              </w:rPr>
              <w:t xml:space="preserve"> (AstraZeneca Full Royalty) of the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3" w:name="zb4db7cc0eaa64d48966c3b3062fd73b6"/>
      <w:bookmarkStart w:id="124" w:name="zb4db7cc0eaa64d48966c3b3062fd73b6"/>
      <w:bookmarkEnd w:id="124"/>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pPr>
            <w:r>
              <w:rPr/>
              <w:t xml:space="preserve">Solely with respect to the Licensed Program for PNPLA3 Products, </w:t>
            </w:r>
            <w:r>
              <w:rPr>
                <w:smallCaps/>
                <w:u w:val="single"/>
              </w:rPr>
              <w:t>Table</w:t>
            </w:r>
            <w:r>
              <w:rPr>
                <w:u w:val="single"/>
              </w:rPr>
              <w:t xml:space="preserve"> 2</w:t>
            </w:r>
            <w:r>
              <w:rPr/>
              <w:t xml:space="preserve"> is hereby amended to read as follows: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5" w:name="z1ff37fb03a0b4e76ac6a14de2e8057b8"/>
      <w:bookmarkStart w:id="126" w:name="z1ff37fb03a0b4e76ac6a14de2e8057b8"/>
      <w:bookmarkEnd w:id="126"/>
    </w:p>
    <w:tbl>
      <w:tblPr>
        <w:tblW w:w="9390" w:type="dxa"/>
        <w:jc w:val="left"/>
        <w:tblInd w:w="-15" w:type="dxa"/>
        <w:tblLayout w:type="fixed"/>
        <w:tblCellMar>
          <w:top w:w="28" w:type="dxa"/>
          <w:left w:w="28" w:type="dxa"/>
          <w:bottom w:w="28" w:type="dxa"/>
          <w:right w:w="28" w:type="dxa"/>
        </w:tblCellMar>
      </w:tblPr>
      <w:tblGrid>
        <w:gridCol w:w="1310"/>
        <w:gridCol w:w="60"/>
        <w:gridCol w:w="6665"/>
        <w:gridCol w:w="1355"/>
      </w:tblGrid>
      <w:tr>
        <w:trPr/>
        <w:tc>
          <w:tcPr>
            <w:tcW w:w="9390"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sz w:val="24"/>
              </w:rPr>
            </w:pPr>
            <w:r>
              <w:rPr>
                <w:b/>
                <w:smallCaps/>
                <w:sz w:val="20"/>
                <w:u w:val="single"/>
              </w:rPr>
              <w:t>Table</w:t>
            </w:r>
            <w:r>
              <w:rPr>
                <w:b/>
                <w:sz w:val="24"/>
                <w:u w:val="single"/>
              </w:rPr>
              <w:t xml:space="preserve"> </w:t>
            </w:r>
            <w:r>
              <w:rPr>
                <w:b/>
                <w:sz w:val="20"/>
                <w:u w:val="single"/>
              </w:rPr>
              <w:t>2</w:t>
            </w:r>
          </w:p>
        </w:tc>
      </w:tr>
      <w:tr>
        <w:trPr/>
        <w:tc>
          <w:tcPr>
            <w:tcW w:w="13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 Tier</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b/>
              </w:rPr>
            </w:pPr>
            <w:r>
              <w:rPr>
                <w:b/>
              </w:rPr>
              <w:t xml:space="preserve">Annual Worldwide Net Sales of Products </w:t>
            </w:r>
          </w:p>
          <w:p>
            <w:pPr>
              <w:pStyle w:val="TableContents"/>
              <w:bidi w:val="0"/>
              <w:spacing w:before="0" w:after="0"/>
              <w:jc w:val="left"/>
              <w:rPr>
                <w:b/>
              </w:rPr>
            </w:pPr>
            <w:r>
              <w:rPr>
                <w:b/>
              </w:rPr>
              <w:t>from a Licensed Program</w:t>
            </w:r>
          </w:p>
          <w:p>
            <w:pPr>
              <w:pStyle w:val="TableContents"/>
              <w:bidi w:val="0"/>
              <w:spacing w:before="0" w:after="0"/>
              <w:jc w:val="left"/>
              <w:rPr>
                <w:b/>
              </w:rPr>
            </w:pPr>
            <w:r>
              <w:rPr>
                <w:b/>
              </w:rPr>
              <w:t>(Applicable only to PNPLA3 Products)</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 Rate</w:t>
            </w:r>
          </w:p>
        </w:tc>
      </w:tr>
      <w:tr>
        <w:trPr/>
        <w:tc>
          <w:tcPr>
            <w:tcW w:w="13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left"/>
              <w:rPr/>
            </w:pPr>
            <w:r>
              <w:rPr/>
              <w:t>For the portion of Annual Worldwide Net Sales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3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2</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3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31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5</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left"/>
              <w:rPr/>
            </w:pPr>
            <w:r>
              <w:rPr/>
              <w:t>For the portion of Annual Worldwide Net Sales ≥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27" w:name="z9d9f117cd36b46c5aadd36a2350be89e"/>
      <w:bookmarkStart w:id="128" w:name="z9d9f117cd36b46c5aadd36a2350be89e"/>
      <w:bookmarkEnd w:id="12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 xml:space="preserve">Solely with respect to the Licensed Program for APOL1 Products, </w:t>
            </w:r>
            <w:r>
              <w:rPr>
                <w:smallCaps/>
                <w:u w:val="single"/>
              </w:rPr>
              <w:t>Table</w:t>
            </w:r>
            <w:r>
              <w:rPr>
                <w:u w:val="single"/>
              </w:rPr>
              <w:t xml:space="preserve"> 2</w:t>
            </w:r>
            <w:r>
              <w:rPr/>
              <w:t xml:space="preserve"> is hereby amended to read as follows: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9" w:name="z61ccbd8c3a4c40bc8e10f3d3ee9514bc"/>
      <w:bookmarkStart w:id="130" w:name="z61ccbd8c3a4c40bc8e10f3d3ee9514bc"/>
      <w:bookmarkEnd w:id="130"/>
    </w:p>
    <w:tbl>
      <w:tblPr>
        <w:tblW w:w="8895" w:type="dxa"/>
        <w:jc w:val="left"/>
        <w:tblInd w:w="-15" w:type="dxa"/>
        <w:tblLayout w:type="fixed"/>
        <w:tblCellMar>
          <w:top w:w="28" w:type="dxa"/>
          <w:left w:w="28" w:type="dxa"/>
          <w:bottom w:w="28" w:type="dxa"/>
          <w:right w:w="28" w:type="dxa"/>
        </w:tblCellMar>
      </w:tblPr>
      <w:tblGrid>
        <w:gridCol w:w="815"/>
        <w:gridCol w:w="60"/>
        <w:gridCol w:w="6665"/>
        <w:gridCol w:w="1355"/>
      </w:tblGrid>
      <w:tr>
        <w:trPr/>
        <w:tc>
          <w:tcPr>
            <w:tcW w:w="8895"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sz w:val="24"/>
              </w:rPr>
            </w:pPr>
            <w:r>
              <w:rPr>
                <w:b/>
                <w:smallCaps/>
                <w:sz w:val="20"/>
                <w:u w:val="single"/>
              </w:rPr>
              <w:t>Table</w:t>
            </w:r>
            <w:r>
              <w:rPr>
                <w:b/>
                <w:sz w:val="24"/>
                <w:u w:val="single"/>
              </w:rPr>
              <w:t xml:space="preserve"> </w:t>
            </w:r>
            <w:r>
              <w:rPr>
                <w:b/>
                <w:sz w:val="20"/>
                <w:u w:val="single"/>
              </w:rPr>
              <w:t>2</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b/>
              </w:rPr>
            </w:pPr>
            <w:r>
              <w:rPr>
                <w:b/>
              </w:rPr>
              <w:t>Royalty</w:t>
            </w:r>
          </w:p>
          <w:p>
            <w:pPr>
              <w:pStyle w:val="TableContents"/>
              <w:bidi w:val="0"/>
              <w:spacing w:before="0" w:after="0"/>
              <w:jc w:val="left"/>
              <w:rPr>
                <w:b/>
              </w:rPr>
            </w:pPr>
            <w:r>
              <w:rPr>
                <w:b/>
              </w:rPr>
              <w:t>Tier</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b/>
              </w:rPr>
            </w:pPr>
            <w:r>
              <w:rPr>
                <w:b/>
              </w:rPr>
              <w:t xml:space="preserve">Annual Worldwide Net Sales of Products </w:t>
            </w:r>
          </w:p>
          <w:p>
            <w:pPr>
              <w:pStyle w:val="TableContents"/>
              <w:bidi w:val="0"/>
              <w:spacing w:before="0" w:after="0"/>
              <w:jc w:val="left"/>
              <w:rPr>
                <w:b/>
              </w:rPr>
            </w:pPr>
            <w:r>
              <w:rPr>
                <w:b/>
              </w:rPr>
              <w:t>from a Licensed Program</w:t>
            </w:r>
          </w:p>
          <w:p>
            <w:pPr>
              <w:pStyle w:val="TableContents"/>
              <w:bidi w:val="0"/>
              <w:spacing w:before="0" w:after="0"/>
              <w:jc w:val="left"/>
              <w:rPr>
                <w:b/>
              </w:rPr>
            </w:pPr>
            <w:r>
              <w:rPr>
                <w:b/>
              </w:rPr>
              <w:t>(Applicable only to APOL1 Products)</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 Rate</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left"/>
              <w:rPr/>
            </w:pPr>
            <w:r>
              <w:rPr/>
              <w:t>For the portion of Annual Worldwide Net Sales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2</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t>For the portion of Annual Worldwide Net Sales ≥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1" w:name="zb6b5eefefc5b459a8020a23a758fea9b"/>
      <w:bookmarkStart w:id="132" w:name="zb6b5eefefc5b459a8020a23a758fea9b"/>
      <w:bookmarkEnd w:id="132"/>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0"/>
              <w:jc w:val="both"/>
              <w:rPr/>
            </w:pPr>
            <w:r>
              <w:rPr/>
              <w:t xml:space="preserve">Solely with respect to the Licensed Program for [***] Products, </w:t>
            </w:r>
            <w:r>
              <w:rPr>
                <w:smallCaps/>
                <w:u w:val="single"/>
              </w:rPr>
              <w:t>Table</w:t>
            </w:r>
            <w:r>
              <w:rPr>
                <w:u w:val="single"/>
              </w:rPr>
              <w:t xml:space="preserve"> 2</w:t>
            </w:r>
            <w:r>
              <w:rPr/>
              <w:t xml:space="preserve"> is hereby amended to read as follows: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3" w:name="z40a45d3b5da3426895efb4e1a7477157"/>
      <w:bookmarkStart w:id="134" w:name="z40a45d3b5da3426895efb4e1a7477157"/>
      <w:bookmarkEnd w:id="134"/>
    </w:p>
    <w:tbl>
      <w:tblPr>
        <w:tblW w:w="9135" w:type="dxa"/>
        <w:jc w:val="left"/>
        <w:tblInd w:w="-15" w:type="dxa"/>
        <w:tblLayout w:type="fixed"/>
        <w:tblCellMar>
          <w:top w:w="28" w:type="dxa"/>
          <w:left w:w="28" w:type="dxa"/>
          <w:bottom w:w="28" w:type="dxa"/>
          <w:right w:w="28" w:type="dxa"/>
        </w:tblCellMar>
      </w:tblPr>
      <w:tblGrid>
        <w:gridCol w:w="815"/>
        <w:gridCol w:w="60"/>
        <w:gridCol w:w="6665"/>
        <w:gridCol w:w="1595"/>
      </w:tblGrid>
      <w:tr>
        <w:trPr/>
        <w:tc>
          <w:tcPr>
            <w:tcW w:w="9135"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sz w:val="24"/>
              </w:rPr>
            </w:pPr>
            <w:r>
              <w:rPr>
                <w:b/>
                <w:smallCaps/>
                <w:sz w:val="20"/>
                <w:u w:val="single"/>
              </w:rPr>
              <w:t>Table</w:t>
            </w:r>
            <w:r>
              <w:rPr>
                <w:b/>
                <w:sz w:val="24"/>
                <w:u w:val="single"/>
              </w:rPr>
              <w:t xml:space="preserve"> </w:t>
            </w:r>
            <w:r>
              <w:rPr>
                <w:b/>
                <w:sz w:val="20"/>
                <w:u w:val="single"/>
              </w:rPr>
              <w:t>2</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b/>
              </w:rPr>
            </w:pPr>
            <w:r>
              <w:rPr>
                <w:b/>
              </w:rPr>
              <w:t>Royalty</w:t>
            </w:r>
          </w:p>
          <w:p>
            <w:pPr>
              <w:pStyle w:val="TableContents"/>
              <w:bidi w:val="0"/>
              <w:spacing w:before="0" w:after="0"/>
              <w:jc w:val="left"/>
              <w:rPr>
                <w:b/>
              </w:rPr>
            </w:pPr>
            <w:r>
              <w:rPr>
                <w:b/>
              </w:rPr>
              <w:t>Tier</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b/>
              </w:rPr>
            </w:pPr>
            <w:r>
              <w:rPr>
                <w:b/>
              </w:rPr>
              <w:t xml:space="preserve">Annual Worldwide Net Sales of Products </w:t>
            </w:r>
          </w:p>
          <w:p>
            <w:pPr>
              <w:pStyle w:val="TableContents"/>
              <w:bidi w:val="0"/>
              <w:spacing w:before="0" w:after="0"/>
              <w:jc w:val="left"/>
              <w:rPr>
                <w:b/>
              </w:rPr>
            </w:pPr>
            <w:r>
              <w:rPr>
                <w:b/>
              </w:rPr>
              <w:t>from a Licensed Program</w:t>
            </w:r>
          </w:p>
          <w:p>
            <w:pPr>
              <w:pStyle w:val="TableContents"/>
              <w:bidi w:val="0"/>
              <w:spacing w:before="0" w:after="0"/>
              <w:jc w:val="left"/>
              <w:rPr>
                <w:sz w:val="24"/>
              </w:rPr>
            </w:pPr>
            <w:r>
              <w:rPr>
                <w:b/>
                <w:sz w:val="20"/>
              </w:rPr>
              <w:t xml:space="preserve">(Applicable only to </w:t>
            </w:r>
            <w:r>
              <w:rPr>
                <w:sz w:val="20"/>
              </w:rPr>
              <w:t xml:space="preserve">[***] </w:t>
            </w:r>
            <w:r>
              <w:rPr>
                <w:b/>
                <w:sz w:val="20"/>
              </w:rPr>
              <w:t>Products)</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 Rate**</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both"/>
              <w:rPr/>
            </w:pPr>
            <w:r>
              <w:rPr/>
              <w:t>For the portion of Annual Worldwide Net Sales &lt; $[***]</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2</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both"/>
              <w:rPr/>
            </w:pPr>
            <w:r>
              <w:rPr/>
              <w:t>For the portion of Annual Worldwide Net Sales ≥ $[***] but &lt; $[***]</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both"/>
              <w:rPr/>
            </w:pPr>
            <w:r>
              <w:rPr/>
              <w:t>For the portion of Annual Worldwide Net Sales ≥ $[***]</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**With respect to the Licensed Program for [***] Products, the Parties hereby agree that </w:t>
      </w:r>
      <w:r>
        <w:rPr>
          <w:rFonts w:ascii="Times New Roman" w:hAnsi="Times New Roman"/>
          <w:color w:val="000000"/>
          <w:sz w:val="20"/>
          <w:u w:val="single"/>
        </w:rPr>
        <w:t>Table 3a</w:t>
      </w:r>
      <w:r>
        <w:rPr>
          <w:rFonts w:ascii="Times New Roman" w:hAnsi="Times New Roman"/>
          <w:color w:val="000000"/>
          <w:sz w:val="20"/>
        </w:rPr>
        <w:t xml:space="preserve"> (Royalties) of the [***] Letter Agreement is deleted in its entirety and replaced with new </w:t>
      </w:r>
      <w:r>
        <w:rPr>
          <w:rFonts w:ascii="Times New Roman" w:hAnsi="Times New Roman"/>
          <w:smallCaps/>
          <w:color w:val="000000"/>
          <w:sz w:val="20"/>
          <w:u w:val="single"/>
        </w:rPr>
        <w:t>Table</w:t>
      </w:r>
      <w:r>
        <w:rPr>
          <w:rFonts w:ascii="Times New Roman" w:hAnsi="Times New Roman"/>
          <w:color w:val="000000"/>
          <w:sz w:val="20"/>
          <w:u w:val="single"/>
        </w:rPr>
        <w:t xml:space="preserve"> 3a</w:t>
      </w:r>
      <w:r>
        <w:rPr>
          <w:rFonts w:ascii="Times New Roman" w:hAnsi="Times New Roman"/>
          <w:color w:val="000000"/>
          <w:sz w:val="20"/>
        </w:rPr>
        <w:t xml:space="preserve"> ([***] Licensed Program Royalties) set forth in </w:t>
      </w:r>
      <w:r>
        <w:rPr>
          <w:rFonts w:ascii="Times New Roman" w:hAnsi="Times New Roman"/>
          <w:smallCaps/>
          <w:color w:val="000000"/>
          <w:sz w:val="20"/>
          <w:u w:val="single"/>
        </w:rPr>
        <w:t>Schedule</w:t>
      </w:r>
      <w:r>
        <w:rPr>
          <w:rFonts w:ascii="Times New Roman" w:hAnsi="Times New Roman"/>
          <w:color w:val="000000"/>
          <w:sz w:val="20"/>
          <w:u w:val="single"/>
        </w:rPr>
        <w:t xml:space="preserve"> 6.7.1</w:t>
      </w:r>
      <w:r>
        <w:rPr>
          <w:rFonts w:ascii="Times New Roman" w:hAnsi="Times New Roman"/>
          <w:color w:val="000000"/>
          <w:sz w:val="20"/>
        </w:rPr>
        <w:t>, attached to the Fourth Amendment.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35" w:name="z740c0048b9af43709c3a15f39adf891b"/>
      <w:bookmarkStart w:id="136" w:name="z740c0048b9af43709c3a15f39adf891b"/>
      <w:bookmarkEnd w:id="136"/>
    </w:p>
    <w:tbl>
      <w:tblPr>
        <w:tblW w:w="9648" w:type="dxa"/>
        <w:jc w:val="left"/>
        <w:tblInd w:w="0" w:type="dxa"/>
        <w:tblLayout w:type="fixed"/>
        <w:tblCellMar>
          <w:top w:w="0" w:type="dxa"/>
          <w:left w:w="0" w:type="dxa"/>
          <w:bottom w:w="0" w:type="dxa"/>
          <w:right w:w="0" w:type="dxa"/>
        </w:tblCellMar>
      </w:tblPr>
      <w:tblGrid>
        <w:gridCol w:w="38"/>
        <w:gridCol w:w="260"/>
        <w:gridCol w:w="935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iv.</w:t>
            </w:r>
          </w:p>
        </w:tc>
        <w:tc>
          <w:tcPr>
            <w:tcW w:w="9350" w:type="dxa"/>
            <w:tcBorders/>
            <w:vAlign w:val="center"/>
          </w:tcPr>
          <w:p>
            <w:pPr>
              <w:pStyle w:val="TableContents"/>
              <w:bidi w:val="0"/>
              <w:spacing w:before="0" w:after="0"/>
              <w:jc w:val="both"/>
              <w:rPr/>
            </w:pPr>
            <w:r>
              <w:rPr/>
              <w:t xml:space="preserve">Solely with respect to the [***] Licensed Program, </w:t>
            </w:r>
            <w:r>
              <w:rPr>
                <w:smallCaps/>
                <w:u w:val="single"/>
              </w:rPr>
              <w:t>Table</w:t>
            </w:r>
            <w:r>
              <w:rPr>
                <w:u w:val="single"/>
              </w:rPr>
              <w:t xml:space="preserve"> 2</w:t>
            </w:r>
            <w:r>
              <w:rPr/>
              <w:t xml:space="preserve"> is hereby amended to read as follows: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7" w:name="z2a9c062c330645f7a1c293051d1063e4"/>
      <w:bookmarkStart w:id="138" w:name="z2a9c062c330645f7a1c293051d1063e4"/>
      <w:bookmarkEnd w:id="138"/>
    </w:p>
    <w:tbl>
      <w:tblPr>
        <w:tblW w:w="8895" w:type="dxa"/>
        <w:jc w:val="left"/>
        <w:tblInd w:w="-15" w:type="dxa"/>
        <w:tblLayout w:type="fixed"/>
        <w:tblCellMar>
          <w:top w:w="28" w:type="dxa"/>
          <w:left w:w="28" w:type="dxa"/>
          <w:bottom w:w="28" w:type="dxa"/>
          <w:right w:w="28" w:type="dxa"/>
        </w:tblCellMar>
      </w:tblPr>
      <w:tblGrid>
        <w:gridCol w:w="815"/>
        <w:gridCol w:w="60"/>
        <w:gridCol w:w="6665"/>
        <w:gridCol w:w="1355"/>
      </w:tblGrid>
      <w:tr>
        <w:trPr/>
        <w:tc>
          <w:tcPr>
            <w:tcW w:w="8895" w:type="dxa"/>
            <w:gridSpan w:val="4"/>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smallCaps/>
                <w:u w:val="single"/>
              </w:rPr>
              <w:t>Table</w:t>
            </w:r>
            <w:r>
              <w:rPr>
                <w:b/>
                <w:u w:val="single"/>
              </w:rPr>
              <w:t xml:space="preserve"> 2</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left"/>
              <w:rPr>
                <w:b/>
              </w:rPr>
            </w:pPr>
            <w:r>
              <w:rPr>
                <w:b/>
              </w:rPr>
              <w:t>Royalty</w:t>
            </w:r>
          </w:p>
          <w:p>
            <w:pPr>
              <w:pStyle w:val="TableContents"/>
              <w:bidi w:val="0"/>
              <w:spacing w:before="0" w:after="0"/>
              <w:jc w:val="left"/>
              <w:rPr>
                <w:b/>
              </w:rPr>
            </w:pPr>
            <w:r>
              <w:rPr>
                <w:b/>
              </w:rPr>
              <w:t>Tier</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b/>
              </w:rPr>
            </w:pPr>
            <w:r>
              <w:rPr>
                <w:b/>
              </w:rPr>
              <w:t xml:space="preserve">Annual Worldwide Net Sales of Products </w:t>
            </w:r>
          </w:p>
          <w:p>
            <w:pPr>
              <w:pStyle w:val="TableContents"/>
              <w:bidi w:val="0"/>
              <w:spacing w:before="0" w:after="0"/>
              <w:jc w:val="left"/>
              <w:rPr>
                <w:b/>
              </w:rPr>
            </w:pPr>
            <w:r>
              <w:rPr>
                <w:b/>
              </w:rPr>
              <w:t>from a Licensed Program</w:t>
            </w:r>
          </w:p>
          <w:p>
            <w:pPr>
              <w:pStyle w:val="TableContents"/>
              <w:bidi w:val="0"/>
              <w:spacing w:before="0" w:after="0"/>
              <w:jc w:val="left"/>
              <w:rPr/>
            </w:pPr>
            <w:r>
              <w:rPr>
                <w:b/>
              </w:rPr>
              <w:t xml:space="preserve">(Applicable only to </w:t>
            </w:r>
            <w:r>
              <w:rPr/>
              <w:t xml:space="preserve">[***] </w:t>
            </w:r>
            <w:r>
              <w:rPr>
                <w:b/>
              </w:rPr>
              <w:t>Products)</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Royalty Rate</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1</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both"/>
              <w:rPr/>
            </w:pPr>
            <w:r>
              <w:rPr/>
              <w:t>For the portion of Annual Worldwide Net Sales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2</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both"/>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3</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both"/>
              <w:rPr/>
            </w:pPr>
            <w:r>
              <w:rPr/>
              <w:t>For the portion of Annual Worldwide Net Sales ≥ $[***] but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4</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both"/>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5</w:t>
            </w:r>
          </w:p>
        </w:tc>
        <w:tc>
          <w:tcPr>
            <w:tcW w:w="60" w:type="dxa"/>
            <w:tcBorders>
              <w:left w:val="single" w:sz="12" w:space="0" w:color="000000"/>
              <w:bottom w:val="single" w:sz="12" w:space="0" w:color="000000"/>
            </w:tcBorders>
            <w:shd w:fill="CCEEFF" w:val="clear"/>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shd w:fill="CCEEFF" w:val="clear"/>
            <w:tcMar>
              <w:top w:w="0" w:type="dxa"/>
              <w:left w:w="0" w:type="dxa"/>
            </w:tcMar>
            <w:vAlign w:val="center"/>
          </w:tcPr>
          <w:p>
            <w:pPr>
              <w:pStyle w:val="TableContents"/>
              <w:bidi w:val="0"/>
              <w:spacing w:before="0" w:after="0"/>
              <w:jc w:val="both"/>
              <w:rPr/>
            </w:pPr>
            <w:r>
              <w:rPr/>
              <w:t>For the portion of Annual Worldwide Net Sales ≥ $[***] but &lt; $[***]</w:t>
            </w:r>
          </w:p>
        </w:tc>
        <w:tc>
          <w:tcPr>
            <w:tcW w:w="135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81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6</w:t>
            </w:r>
          </w:p>
        </w:tc>
        <w:tc>
          <w:tcPr>
            <w:tcW w:w="60" w:type="dxa"/>
            <w:tcBorders>
              <w:left w:val="single" w:sz="12" w:space="0" w:color="000000"/>
              <w:bottom w:val="single" w:sz="12" w:space="0" w:color="000000"/>
            </w:tcBorders>
            <w:tcMar>
              <w:top w:w="0" w:type="dxa"/>
              <w:right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tcMar>
            <w:vAlign w:val="center"/>
          </w:tcPr>
          <w:p>
            <w:pPr>
              <w:pStyle w:val="TableContents"/>
              <w:bidi w:val="0"/>
              <w:spacing w:before="0" w:after="0"/>
              <w:jc w:val="both"/>
              <w:rPr/>
            </w:pPr>
            <w:r>
              <w:rPr/>
              <w:t>For the portion of Annual Worldwide Net Sales ≥ $[***]</w:t>
            </w:r>
          </w:p>
        </w:tc>
        <w:tc>
          <w:tcPr>
            <w:tcW w:w="13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9" w:name="63953c6150e0488ca6ed24be2c105a4c"/>
      <w:bookmarkStart w:id="140" w:name="63953c6150e0488ca6ed24be2c105a4c"/>
      <w:bookmarkEnd w:id="140"/>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m.</w:t>
            </w:r>
          </w:p>
        </w:tc>
        <w:tc>
          <w:tcPr>
            <w:tcW w:w="9907" w:type="dxa"/>
            <w:tcBorders/>
            <w:vAlign w:val="center"/>
          </w:tcPr>
          <w:p>
            <w:pPr>
              <w:pStyle w:val="TableContents"/>
              <w:bidi w:val="0"/>
              <w:spacing w:before="0" w:after="0"/>
              <w:jc w:val="both"/>
              <w:rPr/>
            </w:pPr>
            <w:r>
              <w:rPr>
                <w:b/>
                <w:u w:val="single"/>
              </w:rPr>
              <w:t>Section 6.8.2</w:t>
            </w:r>
            <w:r>
              <w:rPr/>
              <w:t xml:space="preserve">. </w:t>
            </w:r>
            <w:r>
              <w:rPr>
                <w:u w:val="single"/>
              </w:rPr>
              <w:t>Section 6.8.2</w:t>
            </w:r>
            <w:r>
              <w:rPr/>
              <w:t xml:space="preserve"> (New In-Licensed Additional Product-Specific Patents) is hereby amended in accordance with the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1" w:name="z63abd4d9bc86410ab84888bc72a86c17"/>
      <w:bookmarkStart w:id="142" w:name="z63abd4d9bc86410ab84888bc72a86c17"/>
      <w:bookmarkEnd w:id="142"/>
    </w:p>
    <w:tbl>
      <w:tblPr>
        <w:tblW w:w="8373" w:type="dxa"/>
        <w:jc w:val="left"/>
        <w:tblInd w:w="0" w:type="dxa"/>
        <w:tblLayout w:type="fixed"/>
        <w:tblCellMar>
          <w:top w:w="0" w:type="dxa"/>
          <w:left w:w="0" w:type="dxa"/>
          <w:bottom w:w="0" w:type="dxa"/>
          <w:right w:w="0" w:type="dxa"/>
        </w:tblCellMar>
      </w:tblPr>
      <w:tblGrid>
        <w:gridCol w:w="38"/>
        <w:gridCol w:w="140"/>
        <w:gridCol w:w="819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8195" w:type="dxa"/>
            <w:tcBorders/>
            <w:vAlign w:val="center"/>
          </w:tcPr>
          <w:p>
            <w:pPr>
              <w:pStyle w:val="TableContents"/>
              <w:bidi w:val="0"/>
              <w:spacing w:before="0" w:after="0"/>
              <w:jc w:val="both"/>
              <w:rPr/>
            </w:pPr>
            <w:r>
              <w:rPr/>
              <w:t>“</w:t>
            </w:r>
            <w:r>
              <w:rPr/>
              <w:t xml:space="preserve">Product” in </w:t>
            </w:r>
            <w:r>
              <w:rPr>
                <w:u w:val="single"/>
              </w:rPr>
              <w:t>Section 6.8.2(b)(1)</w:t>
            </w:r>
            <w:r>
              <w:rPr/>
              <w:t xml:space="preserve"> is hereby replaced with “Collaboration Product.”;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3" w:name="zee313a5675bf4696918b9595473549b8"/>
      <w:bookmarkStart w:id="144" w:name="zee313a5675bf4696918b9595473549b8"/>
      <w:bookmarkEnd w:id="14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pPr>
            <w:r>
              <w:rPr/>
              <w:t xml:space="preserve">The following subsection is inserted after </w:t>
            </w:r>
            <w:r>
              <w:rPr>
                <w:u w:val="single"/>
              </w:rPr>
              <w:t>Section 6.8.2(b)</w:t>
            </w:r>
            <w:r>
              <w:rPr/>
              <w:t xml:space="preserve"> (After Exercise of Collaboration Program License Right) as new </w:t>
            </w:r>
            <w:r>
              <w:rPr>
                <w:u w:val="single"/>
              </w:rPr>
              <w:t>Section 6.8.2(c)</w:t>
            </w:r>
            <w:r>
              <w:rPr/>
              <w:t>:</w:t>
            </w:r>
          </w:p>
        </w:tc>
      </w:tr>
    </w:tbl>
    <w:p>
      <w:pPr>
        <w:pStyle w:val="TextBody"/>
        <w:bidi w:val="0"/>
        <w:spacing w:before="0" w:after="0"/>
        <w:jc w:val="left"/>
        <w:rPr/>
      </w:pPr>
      <w:r>
        <w:rPr/>
      </w:r>
    </w:p>
    <w:p>
      <w:pPr>
        <w:pStyle w:val="TextBody"/>
        <w:bidi w:val="0"/>
        <w:spacing w:before="0" w:after="0"/>
        <w:ind w:left="720" w:right="0" w:firstLine="360"/>
        <w:jc w:val="both"/>
        <w:rPr>
          <w:color w:val="000000"/>
        </w:rPr>
      </w:pPr>
      <w:r>
        <w:rPr>
          <w:color w:val="000000"/>
        </w:rPr>
        <w:t>“</w:t>
      </w:r>
      <w:r>
        <w:rPr>
          <w:rFonts w:ascii="Times New Roman" w:hAnsi="Times New Roman"/>
          <w:b/>
          <w:color w:val="000000"/>
          <w:sz w:val="20"/>
        </w:rPr>
        <w:t>(c)</w:t>
      </w:r>
      <w:r>
        <w:rPr>
          <w:rFonts w:ascii="Times New Roman" w:hAnsi="Times New Roman"/>
          <w:color w:val="000000"/>
          <w:sz w:val="20"/>
        </w:rPr>
        <w:t xml:space="preserve">             </w:t>
      </w:r>
      <w:r>
        <w:rPr>
          <w:rFonts w:ascii="Times New Roman" w:hAnsi="Times New Roman"/>
          <w:b/>
          <w:color w:val="000000"/>
          <w:sz w:val="20"/>
          <w:u w:val="single"/>
        </w:rPr>
        <w:t>With Respect to the [***] Product</w:t>
      </w:r>
      <w:r>
        <w:rPr>
          <w:rFonts w:ascii="Times New Roman" w:hAnsi="Times New Roman"/>
          <w:b/>
          <w:color w:val="000000"/>
          <w:sz w:val="20"/>
        </w:rPr>
        <w:t>.</w:t>
      </w:r>
    </w:p>
    <w:p>
      <w:pPr>
        <w:pStyle w:val="TextBody"/>
        <w:bidi w:val="0"/>
        <w:spacing w:before="0" w:after="0"/>
        <w:jc w:val="left"/>
        <w:rPr/>
      </w:pPr>
      <w:r>
        <w:rPr/>
      </w:r>
    </w:p>
    <w:p>
      <w:pPr>
        <w:pStyle w:val="TextBody"/>
        <w:bidi w:val="0"/>
        <w:spacing w:before="0" w:after="0"/>
        <w:ind w:left="2160" w:right="0" w:hanging="0"/>
        <w:jc w:val="both"/>
        <w:rPr>
          <w:rFonts w:ascii="Times New Roman" w:hAnsi="Times New Roman"/>
          <w:color w:val="000000"/>
          <w:sz w:val="20"/>
        </w:rPr>
      </w:pPr>
      <w:r>
        <w:rPr>
          <w:rFonts w:ascii="Times New Roman" w:hAnsi="Times New Roman"/>
          <w:b/>
          <w:color w:val="000000"/>
          <w:sz w:val="20"/>
        </w:rPr>
        <w:t>(1)</w:t>
      </w:r>
      <w:r>
        <w:rPr>
          <w:rFonts w:ascii="Times New Roman" w:hAnsi="Times New Roman"/>
          <w:color w:val="000000"/>
          <w:sz w:val="20"/>
        </w:rPr>
        <w:t>          With respect to [***] Products, following the Fourth Amendment Effective Date, AstraZeneca or Ionis, as the case may be, will promptly provide the other Party written notice of any additional Third Party Patent Rights necessary to practice an Ionis Product-Specific Patent to Develop or Commercialize a [***] Product (“</w:t>
      </w:r>
      <w:r>
        <w:rPr>
          <w:rFonts w:ascii="Times New Roman" w:hAnsi="Times New Roman"/>
          <w:b/>
          <w:i/>
          <w:color w:val="000000"/>
          <w:sz w:val="20"/>
        </w:rPr>
        <w:t>Additional [***] Product-Specific Patents</w:t>
      </w:r>
      <w:r>
        <w:rPr>
          <w:rFonts w:ascii="Times New Roman" w:hAnsi="Times New Roman"/>
          <w:color w:val="000000"/>
          <w:sz w:val="20"/>
        </w:rPr>
        <w:t>) it believes it has identified and AstraZeneca will have the first right, but not the obligation, to negotiate with, and obtain a license from the Third Party Controlling such Additional [***] Product-Specific Patent.  If AstraZeneca obtains any such Additional [***] Product-Specific Patents, then any and all Third Party Obligations arising under such Third Party agreement will be paid by [***] as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ind w:left="2160" w:right="0" w:hanging="0"/>
        <w:jc w:val="both"/>
        <w:rPr>
          <w:rFonts w:ascii="Times New Roman" w:hAnsi="Times New Roman"/>
          <w:color w:val="000000"/>
          <w:sz w:val="20"/>
        </w:rPr>
      </w:pPr>
      <w:r>
        <w:rPr>
          <w:rFonts w:ascii="Times New Roman" w:hAnsi="Times New Roman"/>
          <w:b/>
          <w:color w:val="000000"/>
          <w:sz w:val="20"/>
        </w:rPr>
        <w:t>(2)</w:t>
      </w:r>
      <w:r>
        <w:rPr>
          <w:rFonts w:ascii="Times New Roman" w:hAnsi="Times New Roman"/>
          <w:color w:val="000000"/>
          <w:sz w:val="20"/>
        </w:rPr>
        <w:t xml:space="preserve">          If, however, AstraZeneca elects not to obtain such a license to such Additional [***] Product-Specific Patents, AstraZeneca will so notify Ionis, and Ionis may obtain such a license to such Additional [***] Product-Specific Patents and will include such Additional [***] Product-Specific Patent in the license granted to AstraZeneca under </w:t>
      </w:r>
      <w:r>
        <w:rPr>
          <w:rFonts w:ascii="Times New Roman" w:hAnsi="Times New Roman"/>
          <w:color w:val="000000"/>
          <w:sz w:val="20"/>
          <w:u w:val="single"/>
        </w:rPr>
        <w:t>Section 4.1.1</w:t>
      </w:r>
      <w:r>
        <w:rPr>
          <w:rFonts w:ascii="Times New Roman" w:hAnsi="Times New Roman"/>
          <w:color w:val="000000"/>
          <w:sz w:val="20"/>
        </w:rPr>
        <w:t xml:space="preserve"> [***].  On [***], such in-license agreement shall be an Ionis In-License Agreement and </w:t>
      </w:r>
      <w:r>
        <w:rPr>
          <w:rFonts w:ascii="Times New Roman" w:hAnsi="Times New Roman"/>
          <w:smallCaps/>
          <w:color w:val="000000"/>
          <w:sz w:val="20"/>
          <w:u w:val="single"/>
        </w:rPr>
        <w:t>Appendix</w:t>
      </w:r>
      <w:r>
        <w:rPr>
          <w:rFonts w:ascii="Times New Roman" w:hAnsi="Times New Roman"/>
          <w:color w:val="000000"/>
          <w:sz w:val="20"/>
          <w:u w:val="single"/>
        </w:rPr>
        <w:t xml:space="preserve"> 3</w:t>
      </w:r>
      <w:r>
        <w:rPr>
          <w:rFonts w:ascii="Times New Roman" w:hAnsi="Times New Roman"/>
          <w:color w:val="000000"/>
          <w:sz w:val="20"/>
        </w:rPr>
        <w:t xml:space="preserve"> shall be updated accordingly.”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5" w:name="z99d6a6c3867741f9bc4e866384f63510"/>
      <w:bookmarkStart w:id="146" w:name="z99d6a6c3867741f9bc4e866384f63510"/>
      <w:bookmarkEnd w:id="146"/>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n.</w:t>
            </w:r>
          </w:p>
        </w:tc>
        <w:tc>
          <w:tcPr>
            <w:tcW w:w="9967" w:type="dxa"/>
            <w:tcBorders/>
            <w:vAlign w:val="center"/>
          </w:tcPr>
          <w:p>
            <w:pPr>
              <w:pStyle w:val="TableContents"/>
              <w:bidi w:val="0"/>
              <w:spacing w:before="0" w:after="0"/>
              <w:jc w:val="both"/>
              <w:rPr>
                <w:sz w:val="24"/>
              </w:rPr>
            </w:pPr>
            <w:r>
              <w:rPr>
                <w:b/>
                <w:sz w:val="20"/>
                <w:u w:val="single"/>
              </w:rPr>
              <w:t>Section 6.14</w:t>
            </w:r>
            <w:r>
              <w:rPr>
                <w:sz w:val="20"/>
              </w:rPr>
              <w:t xml:space="preserve">.  </w:t>
            </w:r>
            <w:r>
              <w:rPr>
                <w:sz w:val="20"/>
                <w:u w:val="single"/>
              </w:rPr>
              <w:t>Section 6.14</w:t>
            </w:r>
            <w:r>
              <w:rPr>
                <w:sz w:val="20"/>
              </w:rPr>
              <w:t xml:space="preserve"> (Commercial Milestones for [***] Products) is hereby deleted in its entirety and replaced with the following:</w:t>
            </w:r>
          </w:p>
        </w:tc>
      </w:tr>
    </w:tbl>
    <w:p>
      <w:pPr>
        <w:pStyle w:val="TextBody"/>
        <w:bidi w:val="0"/>
        <w:spacing w:before="0" w:after="0"/>
        <w:jc w:val="left"/>
        <w:rPr/>
      </w:pPr>
      <w:r>
        <w:rPr/>
      </w:r>
    </w:p>
    <w:p>
      <w:pPr>
        <w:pStyle w:val="TextBody"/>
        <w:bidi w:val="0"/>
        <w:spacing w:before="0" w:after="0"/>
        <w:ind w:left="360" w:right="0" w:firstLine="360"/>
        <w:jc w:val="both"/>
        <w:rPr>
          <w:color w:val="000000"/>
        </w:rPr>
      </w:pPr>
      <w:r>
        <w:rPr>
          <w:color w:val="000000"/>
        </w:rPr>
        <w:t>“</w:t>
      </w:r>
      <w:r>
        <w:rPr>
          <w:rFonts w:ascii="Times New Roman" w:hAnsi="Times New Roman"/>
          <w:b/>
          <w:color w:val="000000"/>
          <w:sz w:val="20"/>
        </w:rPr>
        <w:t>6.14</w:t>
      </w:r>
      <w:r>
        <w:rPr>
          <w:rFonts w:ascii="Times New Roman" w:hAnsi="Times New Roman"/>
          <w:color w:val="000000"/>
          <w:sz w:val="20"/>
        </w:rPr>
        <w:t xml:space="preserve">     </w:t>
      </w:r>
      <w:r>
        <w:rPr>
          <w:rFonts w:ascii="Times New Roman" w:hAnsi="Times New Roman"/>
          <w:b/>
          <w:color w:val="000000"/>
          <w:sz w:val="20"/>
          <w:u w:val="single"/>
        </w:rPr>
        <w:t>Commercial Milestones</w:t>
      </w:r>
      <w:r>
        <w:rPr>
          <w:rFonts w:ascii="Times New Roman" w:hAnsi="Times New Roman"/>
          <w:b/>
          <w:color w:val="000000"/>
          <w:sz w:val="20"/>
        </w:rPr>
        <w:t>.</w:t>
      </w:r>
      <w:r>
        <w:rPr>
          <w:rFonts w:ascii="Times New Roman" w:hAnsi="Times New Roman"/>
          <w:color w:val="000000"/>
          <w:sz w:val="20"/>
        </w:rPr>
        <w:t xml:space="preserve">  In partial consideration for the rights and licenses granted to AstraZeneca hereunder, in accordance with </w:t>
      </w:r>
      <w:r>
        <w:rPr>
          <w:rFonts w:ascii="Times New Roman" w:hAnsi="Times New Roman"/>
          <w:color w:val="000000"/>
          <w:sz w:val="20"/>
          <w:u w:val="single"/>
        </w:rPr>
        <w:t>Section 6.5.5</w:t>
      </w:r>
      <w:r>
        <w:rPr>
          <w:rFonts w:ascii="Times New Roman" w:hAnsi="Times New Roman"/>
          <w:color w:val="000000"/>
          <w:sz w:val="20"/>
        </w:rPr>
        <w:t>, on a Fourth Amendment Product-by-Fourth Amendment Product and Calendar Year-by-Calendar Year basis, when the aggregate of all Net Sales of the applicable Fourth Amendment Product made by AstraZeneca or any of its Affiliates or Sublicensees in such Calendar Year exceeds the threshold (each, an “</w:t>
      </w:r>
      <w:r>
        <w:rPr>
          <w:rFonts w:ascii="Times New Roman" w:hAnsi="Times New Roman"/>
          <w:b/>
          <w:i/>
          <w:color w:val="000000"/>
          <w:sz w:val="20"/>
        </w:rPr>
        <w:t>Annual Net Sales Milestone Threshold</w:t>
      </w:r>
      <w:r>
        <w:rPr>
          <w:rFonts w:ascii="Times New Roman" w:hAnsi="Times New Roman"/>
          <w:color w:val="000000"/>
          <w:sz w:val="20"/>
        </w:rPr>
        <w:t xml:space="preserve">) set forth in the left-hand column of </w:t>
      </w:r>
      <w:r>
        <w:rPr>
          <w:rFonts w:ascii="Times New Roman" w:hAnsi="Times New Roman"/>
          <w:smallCaps/>
          <w:color w:val="000000"/>
          <w:sz w:val="20"/>
          <w:u w:val="single"/>
        </w:rPr>
        <w:t>Table</w:t>
      </w:r>
      <w:r>
        <w:rPr>
          <w:rFonts w:ascii="Times New Roman" w:hAnsi="Times New Roman"/>
          <w:color w:val="000000"/>
          <w:sz w:val="20"/>
          <w:u w:val="single"/>
        </w:rPr>
        <w:t xml:space="preserve"> 3</w:t>
      </w:r>
      <w:r>
        <w:rPr>
          <w:rFonts w:ascii="Times New Roman" w:hAnsi="Times New Roman"/>
          <w:color w:val="000000"/>
          <w:sz w:val="20"/>
        </w:rPr>
        <w:t>, AstraZeneca will pay to Ionis a milestone payment (each, an “</w:t>
      </w:r>
      <w:r>
        <w:rPr>
          <w:rFonts w:ascii="Times New Roman" w:hAnsi="Times New Roman"/>
          <w:b/>
          <w:i/>
          <w:color w:val="000000"/>
          <w:sz w:val="20"/>
        </w:rPr>
        <w:t>Annual Net Sales-Based Milestone Payment</w:t>
      </w:r>
      <w:r>
        <w:rPr>
          <w:rFonts w:ascii="Times New Roman" w:hAnsi="Times New Roman"/>
          <w:color w:val="000000"/>
          <w:sz w:val="20"/>
        </w:rPr>
        <w:t xml:space="preserve">”) in the corresponding amount set forth in the applicable column of </w:t>
      </w:r>
      <w:r>
        <w:rPr>
          <w:rFonts w:ascii="Times New Roman" w:hAnsi="Times New Roman"/>
          <w:smallCaps/>
          <w:color w:val="000000"/>
          <w:sz w:val="20"/>
          <w:u w:val="single"/>
        </w:rPr>
        <w:t>Table</w:t>
      </w:r>
      <w:r>
        <w:rPr>
          <w:rFonts w:ascii="Times New Roman" w:hAnsi="Times New Roman"/>
          <w:color w:val="000000"/>
          <w:sz w:val="20"/>
          <w:u w:val="single"/>
        </w:rPr>
        <w:t xml:space="preserve"> 3</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7" w:name="z8489c25a068348a6b76a4926483769bb"/>
      <w:bookmarkStart w:id="148" w:name="z8489c25a068348a6b76a4926483769bb"/>
      <w:bookmarkEnd w:id="148"/>
    </w:p>
    <w:tbl>
      <w:tblPr>
        <w:tblW w:w="7045" w:type="dxa"/>
        <w:jc w:val="left"/>
        <w:tblInd w:w="-15" w:type="dxa"/>
        <w:tblLayout w:type="fixed"/>
        <w:tblCellMar>
          <w:top w:w="28" w:type="dxa"/>
          <w:left w:w="28" w:type="dxa"/>
          <w:bottom w:w="28" w:type="dxa"/>
          <w:right w:w="28" w:type="dxa"/>
        </w:tblCellMar>
      </w:tblPr>
      <w:tblGrid>
        <w:gridCol w:w="1625"/>
        <w:gridCol w:w="1340"/>
        <w:gridCol w:w="1280"/>
        <w:gridCol w:w="1295"/>
        <w:gridCol w:w="1505"/>
      </w:tblGrid>
      <w:tr>
        <w:trPr/>
        <w:tc>
          <w:tcPr>
            <w:tcW w:w="704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sz w:val="24"/>
              </w:rPr>
            </w:pPr>
            <w:r>
              <w:rPr>
                <w:b/>
                <w:smallCaps/>
                <w:sz w:val="20"/>
                <w:u w:val="single"/>
              </w:rPr>
              <w:t>Table</w:t>
            </w:r>
            <w:r>
              <w:rPr>
                <w:b/>
                <w:sz w:val="24"/>
                <w:u w:val="single"/>
              </w:rPr>
              <w:t xml:space="preserve"> </w:t>
            </w:r>
            <w:r>
              <w:rPr>
                <w:b/>
                <w:sz w:val="20"/>
                <w:u w:val="single"/>
              </w:rPr>
              <w:t>3</w:t>
            </w:r>
          </w:p>
        </w:tc>
      </w:tr>
      <w:tr>
        <w:trPr/>
        <w:tc>
          <w:tcPr>
            <w:tcW w:w="16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u w:val="single"/>
              </w:rPr>
            </w:pPr>
            <w:r>
              <w:rPr>
                <w:b/>
                <w:u w:val="single"/>
              </w:rPr>
              <w:t xml:space="preserve">Annual Net </w:t>
            </w:r>
          </w:p>
          <w:p>
            <w:pPr>
              <w:pStyle w:val="TableContents"/>
              <w:bidi w:val="0"/>
              <w:spacing w:before="0" w:after="0"/>
              <w:jc w:val="center"/>
              <w:rPr>
                <w:b/>
                <w:u w:val="single"/>
              </w:rPr>
            </w:pPr>
            <w:r>
              <w:rPr>
                <w:b/>
                <w:u w:val="single"/>
              </w:rPr>
              <w:t xml:space="preserve">Sales Milestone </w:t>
            </w:r>
          </w:p>
          <w:p>
            <w:pPr>
              <w:pStyle w:val="TableContents"/>
              <w:bidi w:val="0"/>
              <w:spacing w:before="0" w:after="0"/>
              <w:jc w:val="center"/>
              <w:rPr>
                <w:b/>
                <w:u w:val="single"/>
              </w:rPr>
            </w:pPr>
            <w:r>
              <w:rPr>
                <w:b/>
                <w:u w:val="single"/>
              </w:rPr>
              <w:t>Threshold</w:t>
            </w:r>
          </w:p>
        </w:tc>
        <w:tc>
          <w:tcPr>
            <w:tcW w:w="13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u w:val="single"/>
              </w:rPr>
            </w:pPr>
            <w:r>
              <w:rPr>
                <w:b/>
                <w:u w:val="single"/>
              </w:rPr>
              <w:t xml:space="preserve">Annual Net </w:t>
            </w:r>
          </w:p>
          <w:p>
            <w:pPr>
              <w:pStyle w:val="TableContents"/>
              <w:bidi w:val="0"/>
              <w:spacing w:before="0" w:after="0"/>
              <w:jc w:val="center"/>
              <w:rPr>
                <w:b/>
                <w:u w:val="single"/>
              </w:rPr>
            </w:pPr>
            <w:r>
              <w:rPr>
                <w:b/>
                <w:u w:val="single"/>
              </w:rPr>
              <w:t xml:space="preserve">Sales-Based </w:t>
            </w:r>
          </w:p>
          <w:p>
            <w:pPr>
              <w:pStyle w:val="TableContents"/>
              <w:bidi w:val="0"/>
              <w:spacing w:before="0" w:after="0"/>
              <w:jc w:val="center"/>
              <w:rPr>
                <w:b/>
                <w:u w:val="single"/>
              </w:rPr>
            </w:pPr>
            <w:r>
              <w:rPr>
                <w:b/>
                <w:u w:val="single"/>
              </w:rPr>
              <w:t xml:space="preserve">Milestone </w:t>
            </w:r>
          </w:p>
          <w:p>
            <w:pPr>
              <w:pStyle w:val="TableContents"/>
              <w:bidi w:val="0"/>
              <w:spacing w:before="0" w:after="0"/>
              <w:jc w:val="center"/>
              <w:rPr>
                <w:b/>
                <w:u w:val="single"/>
              </w:rPr>
            </w:pPr>
            <w:r>
              <w:rPr>
                <w:b/>
                <w:u w:val="single"/>
              </w:rPr>
              <w:t xml:space="preserve">Payment for </w:t>
            </w:r>
          </w:p>
          <w:p>
            <w:pPr>
              <w:pStyle w:val="TableContents"/>
              <w:bidi w:val="0"/>
              <w:spacing w:before="0" w:after="0"/>
              <w:jc w:val="center"/>
              <w:rPr>
                <w:b/>
                <w:u w:val="single"/>
              </w:rPr>
            </w:pPr>
            <w:r>
              <w:rPr>
                <w:b/>
                <w:u w:val="single"/>
              </w:rPr>
              <w:t xml:space="preserve">PNPLA3 </w:t>
            </w:r>
          </w:p>
          <w:p>
            <w:pPr>
              <w:pStyle w:val="TableContents"/>
              <w:bidi w:val="0"/>
              <w:spacing w:before="0" w:after="0"/>
              <w:jc w:val="center"/>
              <w:rPr>
                <w:b/>
                <w:u w:val="single"/>
              </w:rPr>
            </w:pPr>
            <w:r>
              <w:rPr>
                <w:b/>
                <w:u w:val="single"/>
              </w:rPr>
              <w:t>Products</w:t>
            </w:r>
          </w:p>
        </w:tc>
        <w:tc>
          <w:tcPr>
            <w:tcW w:w="12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u w:val="single"/>
              </w:rPr>
            </w:pPr>
            <w:r>
              <w:rPr>
                <w:b/>
                <w:u w:val="single"/>
              </w:rPr>
              <w:t xml:space="preserve">Annual Net </w:t>
            </w:r>
          </w:p>
          <w:p>
            <w:pPr>
              <w:pStyle w:val="TableContents"/>
              <w:bidi w:val="0"/>
              <w:spacing w:before="0" w:after="0"/>
              <w:jc w:val="center"/>
              <w:rPr>
                <w:b/>
                <w:u w:val="single"/>
              </w:rPr>
            </w:pPr>
            <w:r>
              <w:rPr>
                <w:b/>
                <w:u w:val="single"/>
              </w:rPr>
              <w:t>Sales-Based</w:t>
            </w:r>
          </w:p>
          <w:p>
            <w:pPr>
              <w:pStyle w:val="TableContents"/>
              <w:bidi w:val="0"/>
              <w:spacing w:before="0" w:after="0"/>
              <w:jc w:val="center"/>
              <w:rPr>
                <w:b/>
                <w:u w:val="single"/>
              </w:rPr>
            </w:pPr>
            <w:r>
              <w:rPr>
                <w:b/>
                <w:u w:val="single"/>
              </w:rPr>
              <w:t xml:space="preserve">Milestone </w:t>
            </w:r>
          </w:p>
          <w:p>
            <w:pPr>
              <w:pStyle w:val="TableContents"/>
              <w:bidi w:val="0"/>
              <w:spacing w:before="0" w:after="0"/>
              <w:jc w:val="center"/>
              <w:rPr>
                <w:b/>
                <w:u w:val="single"/>
              </w:rPr>
            </w:pPr>
            <w:r>
              <w:rPr>
                <w:b/>
                <w:u w:val="single"/>
              </w:rPr>
              <w:t>Payment for</w:t>
            </w:r>
          </w:p>
          <w:p>
            <w:pPr>
              <w:pStyle w:val="TableContents"/>
              <w:bidi w:val="0"/>
              <w:spacing w:before="0" w:after="0"/>
              <w:jc w:val="center"/>
              <w:rPr>
                <w:u w:val="single"/>
              </w:rPr>
            </w:pPr>
            <w:r>
              <w:rPr>
                <w:u w:val="single"/>
              </w:rPr>
              <w:t> </w:t>
            </w:r>
            <w:r>
              <w:rPr>
                <w:b/>
                <w:u w:val="single"/>
              </w:rPr>
              <w:t xml:space="preserve">APOL1 </w:t>
            </w:r>
          </w:p>
          <w:p>
            <w:pPr>
              <w:pStyle w:val="TableContents"/>
              <w:bidi w:val="0"/>
              <w:spacing w:before="0" w:after="0"/>
              <w:jc w:val="center"/>
              <w:rPr>
                <w:b/>
                <w:u w:val="single"/>
              </w:rPr>
            </w:pPr>
            <w:r>
              <w:rPr>
                <w:b/>
                <w:u w:val="single"/>
              </w:rPr>
              <w:t>Products</w:t>
            </w:r>
          </w:p>
        </w:tc>
        <w:tc>
          <w:tcPr>
            <w:tcW w:w="12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u w:val="single"/>
              </w:rPr>
            </w:pPr>
            <w:r>
              <w:rPr>
                <w:b/>
                <w:u w:val="single"/>
              </w:rPr>
              <w:t xml:space="preserve">Annual Net </w:t>
            </w:r>
          </w:p>
          <w:p>
            <w:pPr>
              <w:pStyle w:val="TableContents"/>
              <w:bidi w:val="0"/>
              <w:spacing w:before="0" w:after="0"/>
              <w:jc w:val="center"/>
              <w:rPr>
                <w:b/>
                <w:u w:val="single"/>
              </w:rPr>
            </w:pPr>
            <w:r>
              <w:rPr>
                <w:b/>
                <w:u w:val="single"/>
              </w:rPr>
              <w:t xml:space="preserve">Sales-Based </w:t>
            </w:r>
          </w:p>
          <w:p>
            <w:pPr>
              <w:pStyle w:val="TableContents"/>
              <w:bidi w:val="0"/>
              <w:spacing w:before="0" w:after="0"/>
              <w:jc w:val="center"/>
              <w:rPr>
                <w:b/>
                <w:u w:val="single"/>
              </w:rPr>
            </w:pPr>
            <w:r>
              <w:rPr>
                <w:b/>
                <w:u w:val="single"/>
              </w:rPr>
              <w:t xml:space="preserve">Milestone </w:t>
            </w:r>
          </w:p>
          <w:p>
            <w:pPr>
              <w:pStyle w:val="TableContents"/>
              <w:bidi w:val="0"/>
              <w:spacing w:before="0" w:after="0"/>
              <w:jc w:val="center"/>
              <w:rPr>
                <w:b/>
                <w:u w:val="single"/>
              </w:rPr>
            </w:pPr>
            <w:r>
              <w:rPr>
                <w:b/>
                <w:u w:val="single"/>
              </w:rPr>
              <w:t>Payment for</w:t>
            </w:r>
          </w:p>
          <w:p>
            <w:pPr>
              <w:pStyle w:val="TableContents"/>
              <w:bidi w:val="0"/>
              <w:spacing w:before="0" w:after="0"/>
              <w:jc w:val="center"/>
              <w:rPr>
                <w:b/>
                <w:u w:val="single"/>
              </w:rPr>
            </w:pPr>
            <w:r>
              <w:rPr>
                <w:b/>
                <w:u w:val="single"/>
              </w:rPr>
              <w:t xml:space="preserve">[***] </w:t>
            </w:r>
          </w:p>
          <w:p>
            <w:pPr>
              <w:pStyle w:val="TableContents"/>
              <w:bidi w:val="0"/>
              <w:spacing w:before="0" w:after="0"/>
              <w:jc w:val="center"/>
              <w:rPr>
                <w:b/>
                <w:u w:val="single"/>
              </w:rPr>
            </w:pPr>
            <w:r>
              <w:rPr>
                <w:b/>
                <w:u w:val="single"/>
              </w:rPr>
              <w:t>Products***</w:t>
            </w:r>
          </w:p>
        </w:tc>
        <w:tc>
          <w:tcPr>
            <w:tcW w:w="15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u w:val="single"/>
              </w:rPr>
            </w:pPr>
            <w:r>
              <w:rPr>
                <w:b/>
                <w:u w:val="single"/>
              </w:rPr>
              <w:t>Annual Net</w:t>
            </w:r>
          </w:p>
          <w:p>
            <w:pPr>
              <w:pStyle w:val="TableContents"/>
              <w:bidi w:val="0"/>
              <w:spacing w:before="0" w:after="0"/>
              <w:jc w:val="center"/>
              <w:rPr>
                <w:b/>
                <w:u w:val="single"/>
              </w:rPr>
            </w:pPr>
            <w:r>
              <w:rPr>
                <w:b/>
                <w:u w:val="single"/>
              </w:rPr>
              <w:t xml:space="preserve">Sales-Based </w:t>
            </w:r>
          </w:p>
          <w:p>
            <w:pPr>
              <w:pStyle w:val="TableContents"/>
              <w:bidi w:val="0"/>
              <w:spacing w:before="0" w:after="0"/>
              <w:jc w:val="center"/>
              <w:rPr>
                <w:b/>
                <w:u w:val="single"/>
              </w:rPr>
            </w:pPr>
            <w:r>
              <w:rPr>
                <w:b/>
                <w:u w:val="single"/>
              </w:rPr>
              <w:t xml:space="preserve">Milestone </w:t>
            </w:r>
          </w:p>
          <w:p>
            <w:pPr>
              <w:pStyle w:val="TableContents"/>
              <w:bidi w:val="0"/>
              <w:spacing w:before="0" w:after="0"/>
              <w:jc w:val="center"/>
              <w:rPr>
                <w:b/>
                <w:u w:val="single"/>
              </w:rPr>
            </w:pPr>
            <w:r>
              <w:rPr>
                <w:b/>
                <w:u w:val="single"/>
              </w:rPr>
              <w:t>Payment for</w:t>
            </w:r>
          </w:p>
          <w:p>
            <w:pPr>
              <w:pStyle w:val="TableContents"/>
              <w:bidi w:val="0"/>
              <w:spacing w:before="0" w:after="0"/>
              <w:jc w:val="center"/>
              <w:rPr>
                <w:b/>
                <w:u w:val="single"/>
              </w:rPr>
            </w:pPr>
            <w:r>
              <w:rPr>
                <w:b/>
                <w:u w:val="single"/>
              </w:rPr>
              <w:t>[***] Products</w:t>
            </w:r>
          </w:p>
        </w:tc>
      </w:tr>
      <w:tr>
        <w:trPr/>
        <w:tc>
          <w:tcPr>
            <w:tcW w:w="162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34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0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6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3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2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2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62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34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0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r>
        <w:trPr/>
        <w:tc>
          <w:tcPr>
            <w:tcW w:w="162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3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2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2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0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r>
      <w:tr>
        <w:trPr/>
        <w:tc>
          <w:tcPr>
            <w:tcW w:w="162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34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2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0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If, with respect to the applicable Fourth Amendment Product, in a given Calendar Year more than one of the foregoing thresholds for such Fourth Amendment Product set forth in </w:t>
      </w:r>
      <w:r>
        <w:rPr>
          <w:rFonts w:ascii="Times New Roman" w:hAnsi="Times New Roman"/>
          <w:smallCaps/>
          <w:color w:val="000000"/>
          <w:sz w:val="20"/>
          <w:u w:val="single"/>
        </w:rPr>
        <w:t>Table</w:t>
      </w:r>
      <w:r>
        <w:rPr>
          <w:rFonts w:ascii="Times New Roman" w:hAnsi="Times New Roman"/>
          <w:color w:val="000000"/>
          <w:sz w:val="20"/>
          <w:u w:val="single"/>
        </w:rPr>
        <w:t xml:space="preserve"> 3</w:t>
      </w:r>
      <w:r>
        <w:rPr>
          <w:rFonts w:ascii="Times New Roman" w:hAnsi="Times New Roman"/>
          <w:color w:val="000000"/>
          <w:sz w:val="20"/>
        </w:rPr>
        <w:t xml:space="preserve"> is exceeded, AstraZeneca will pay to Ionis a separate Annual Net Sales-Based Milestone Payment with respect to each such threshold that is exceeded in such Calendar Year for such Fourth Amendment Product.  Each milestone payment in this </w:t>
      </w:r>
      <w:r>
        <w:rPr>
          <w:rFonts w:ascii="Times New Roman" w:hAnsi="Times New Roman"/>
          <w:color w:val="000000"/>
          <w:sz w:val="20"/>
          <w:u w:val="single"/>
        </w:rPr>
        <w:t>Section 6.14</w:t>
      </w:r>
      <w:r>
        <w:rPr>
          <w:rFonts w:ascii="Times New Roman" w:hAnsi="Times New Roman"/>
          <w:color w:val="000000"/>
          <w:sz w:val="20"/>
        </w:rPr>
        <w:t xml:space="preserve"> (Commercial Milestones) will be payable only upon the first achievement of such milestone event for such Fourth Amendment Product in a given Calendar Year and no amounts shall be due for subsequent or repeated achievements of such milestone for such Fourth Amendment Product in subsequent Calendar Years.”</w:t>
      </w:r>
    </w:p>
    <w:p>
      <w:pPr>
        <w:pStyle w:val="TextBody"/>
        <w:bidi w:val="0"/>
        <w:spacing w:before="0" w:after="0"/>
        <w:jc w:val="left"/>
        <w:rPr/>
      </w:pPr>
      <w:r>
        <w:rPr/>
      </w:r>
    </w:p>
    <w:p>
      <w:pPr>
        <w:pStyle w:val="TextBody"/>
        <w:bidi w:val="0"/>
        <w:spacing w:before="0" w:after="0"/>
        <w:ind w:left="360" w:right="0" w:hanging="0"/>
        <w:jc w:val="both"/>
        <w:rPr>
          <w:rFonts w:ascii="Times New Roman" w:hAnsi="Times New Roman"/>
          <w:color w:val="000000"/>
          <w:sz w:val="20"/>
        </w:rPr>
      </w:pPr>
      <w:r>
        <w:rPr>
          <w:rFonts w:ascii="Times New Roman" w:hAnsi="Times New Roman"/>
          <w:color w:val="000000"/>
          <w:sz w:val="20"/>
        </w:rPr>
        <w:t xml:space="preserve">***With respect to the [***] Licensed Program, the Parties hereby agree that </w:t>
      </w:r>
      <w:r>
        <w:rPr>
          <w:rFonts w:ascii="Times New Roman" w:hAnsi="Times New Roman"/>
          <w:color w:val="000000"/>
          <w:sz w:val="20"/>
          <w:u w:val="single"/>
        </w:rPr>
        <w:t>Table 2a</w:t>
      </w:r>
      <w:r>
        <w:rPr>
          <w:rFonts w:ascii="Times New Roman" w:hAnsi="Times New Roman"/>
          <w:color w:val="000000"/>
          <w:sz w:val="20"/>
        </w:rPr>
        <w:t xml:space="preserve"> (Sales Milestones) of the [***] Letter Agreement is deleted in its entirety and replaced with </w:t>
      </w:r>
      <w:r>
        <w:rPr>
          <w:rFonts w:ascii="Times New Roman" w:hAnsi="Times New Roman"/>
          <w:smallCaps/>
          <w:color w:val="000000"/>
          <w:sz w:val="20"/>
          <w:u w:val="single"/>
        </w:rPr>
        <w:t>Table 2a</w:t>
      </w:r>
      <w:r>
        <w:rPr>
          <w:rFonts w:ascii="Times New Roman" w:hAnsi="Times New Roman"/>
          <w:color w:val="000000"/>
          <w:sz w:val="20"/>
        </w:rPr>
        <w:t xml:space="preserve"> ([***] Licensed Program Sales Milestones) set forth in </w:t>
      </w:r>
      <w:r>
        <w:rPr>
          <w:rFonts w:ascii="Times New Roman" w:hAnsi="Times New Roman"/>
          <w:smallCaps/>
          <w:color w:val="000000"/>
          <w:sz w:val="20"/>
          <w:u w:val="single"/>
        </w:rPr>
        <w:t>Schedule 6.14</w:t>
      </w:r>
      <w:r>
        <w:rPr>
          <w:rFonts w:ascii="Times New Roman" w:hAnsi="Times New Roman"/>
          <w:color w:val="000000"/>
          <w:sz w:val="20"/>
        </w:rPr>
        <w:t>, attached to the Fourth Amendment.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49" w:name="02f6b9900336426f95e530aec6881e73"/>
      <w:bookmarkStart w:id="150" w:name="02f6b9900336426f95e530aec6881e73"/>
      <w:bookmarkEnd w:id="150"/>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o.</w:t>
            </w:r>
          </w:p>
        </w:tc>
        <w:tc>
          <w:tcPr>
            <w:tcW w:w="9967" w:type="dxa"/>
            <w:tcBorders/>
            <w:vAlign w:val="center"/>
          </w:tcPr>
          <w:p>
            <w:pPr>
              <w:pStyle w:val="TableContents"/>
              <w:bidi w:val="0"/>
              <w:spacing w:before="0" w:after="283"/>
              <w:jc w:val="both"/>
              <w:rPr/>
            </w:pPr>
            <w:r>
              <w:rPr>
                <w:b/>
                <w:u w:val="single"/>
              </w:rPr>
              <w:t>Section 7.1.2</w:t>
            </w:r>
            <w:r>
              <w:rPr/>
              <w:t xml:space="preserve">.  The heading used for </w:t>
            </w:r>
            <w:r>
              <w:rPr>
                <w:u w:val="single"/>
              </w:rPr>
              <w:t>Section 7.1.2</w:t>
            </w:r>
            <w:r>
              <w:rPr/>
              <w:t xml:space="preserve"> (Collaboration Technology) is hereby deleted in its entirety and replaced with the following: “</w:t>
            </w:r>
            <w:r>
              <w:rPr>
                <w:b/>
                <w:u w:val="single"/>
              </w:rPr>
              <w:t>Ownership Generally</w:t>
            </w:r>
            <w:r>
              <w:rPr/>
              <w:t>.”</w:t>
            </w:r>
          </w:p>
        </w:tc>
      </w:tr>
    </w:tbl>
    <w:p>
      <w:pPr>
        <w:pStyle w:val="TextBody"/>
        <w:bidi w:val="0"/>
        <w:spacing w:before="0" w:after="0"/>
        <w:jc w:val="both"/>
        <w:rPr/>
      </w:pPr>
      <w:r>
        <w:rPr/>
      </w:r>
    </w:p>
    <w:p>
      <w:pPr>
        <w:pStyle w:val="Normal"/>
        <w:bidi w:val="0"/>
        <w:spacing w:before="0" w:after="0"/>
        <w:jc w:val="both"/>
        <w:rPr>
          <w:sz w:val="4"/>
          <w:szCs w:val="4"/>
        </w:rPr>
      </w:pPr>
      <w:r>
        <w:rPr>
          <w:sz w:val="4"/>
          <w:szCs w:val="4"/>
        </w:rPr>
      </w:r>
      <w:bookmarkStart w:id="151" w:name="0508834478cd4c4cb379b608ec88fa49"/>
      <w:bookmarkStart w:id="152" w:name="0508834478cd4c4cb379b608ec88fa49"/>
      <w:bookmarkEnd w:id="152"/>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 xml:space="preserve">p. </w:t>
            </w:r>
          </w:p>
        </w:tc>
        <w:tc>
          <w:tcPr>
            <w:tcW w:w="9919" w:type="dxa"/>
            <w:tcBorders/>
            <w:vAlign w:val="center"/>
          </w:tcPr>
          <w:p>
            <w:pPr>
              <w:pStyle w:val="TableContents"/>
              <w:bidi w:val="0"/>
              <w:spacing w:before="0" w:after="283"/>
              <w:jc w:val="both"/>
              <w:rPr/>
            </w:pPr>
            <w:r>
              <w:rPr>
                <w:b/>
                <w:u w:val="single"/>
              </w:rPr>
              <w:t>Section 7.1.4</w:t>
            </w:r>
            <w:r>
              <w:rPr/>
              <w:t>.</w:t>
            </w:r>
            <w:r>
              <w:rPr>
                <w:u w:val="single"/>
              </w:rPr>
              <w:t>   Section 7.1.4</w:t>
            </w:r>
            <w:r>
              <w:rPr/>
              <w:t xml:space="preserve"> (Jointly Owned Collaboration Technology) is hereby amended in accordance with the following:</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153" w:name="z14f712619fd844c89dd9204212b0c30e"/>
      <w:bookmarkStart w:id="154" w:name="z14f712619fd844c89dd9204212b0c30e"/>
      <w:bookmarkEnd w:id="154"/>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pPr>
            <w:r>
              <w:rPr/>
              <w:t xml:space="preserve">The heading used for </w:t>
            </w:r>
            <w:r>
              <w:rPr>
                <w:u w:val="single"/>
              </w:rPr>
              <w:t>Section 7.1.4</w:t>
            </w:r>
            <w:r>
              <w:rPr/>
              <w:t xml:space="preserve"> is hereby deleted in its entirety and replaced with the following: “</w:t>
            </w:r>
            <w:r>
              <w:rPr>
                <w:b/>
                <w:u w:val="single"/>
              </w:rPr>
              <w:t>Joint Ownership</w:t>
            </w:r>
            <w:r>
              <w:rPr/>
              <w: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5" w:name="zf821d85e205c425196f3d037877df2eb"/>
      <w:bookmarkStart w:id="156" w:name="zf821d85e205c425196f3d037877df2eb"/>
      <w:bookmarkEnd w:id="156"/>
    </w:p>
    <w:tbl>
      <w:tblPr>
        <w:tblW w:w="6873" w:type="dxa"/>
        <w:jc w:val="left"/>
        <w:tblInd w:w="0" w:type="dxa"/>
        <w:tblLayout w:type="fixed"/>
        <w:tblCellMar>
          <w:top w:w="0" w:type="dxa"/>
          <w:left w:w="0" w:type="dxa"/>
          <w:bottom w:w="0" w:type="dxa"/>
          <w:right w:w="0" w:type="dxa"/>
        </w:tblCellMar>
      </w:tblPr>
      <w:tblGrid>
        <w:gridCol w:w="38"/>
        <w:gridCol w:w="200"/>
        <w:gridCol w:w="663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6635" w:type="dxa"/>
            <w:tcBorders/>
            <w:vAlign w:val="center"/>
          </w:tcPr>
          <w:p>
            <w:pPr>
              <w:pStyle w:val="TableContents"/>
              <w:bidi w:val="0"/>
              <w:spacing w:before="0" w:after="0"/>
              <w:jc w:val="both"/>
              <w:rPr/>
            </w:pPr>
            <w:r>
              <w:rPr/>
              <w:t xml:space="preserve">The following sentences are hereby added to the end of </w:t>
            </w:r>
            <w:r>
              <w:rPr>
                <w:u w:val="single"/>
              </w:rPr>
              <w:t>Section 7.1.4</w:t>
            </w:r>
            <w:r>
              <w:rPr/>
              <w:t>:</w:t>
            </w:r>
          </w:p>
        </w:tc>
      </w:tr>
    </w:tbl>
    <w:p>
      <w:pPr>
        <w:pStyle w:val="TextBody"/>
        <w:bidi w:val="0"/>
        <w:spacing w:before="0" w:after="0"/>
        <w:jc w:val="left"/>
        <w:rPr/>
      </w:pPr>
      <w:r>
        <w:rPr/>
      </w:r>
    </w:p>
    <w:p>
      <w:pPr>
        <w:pStyle w:val="TextBody"/>
        <w:bidi w:val="0"/>
        <w:spacing w:before="0" w:after="0"/>
        <w:ind w:left="1080" w:right="0" w:hanging="0"/>
        <w:jc w:val="both"/>
        <w:rPr>
          <w:color w:val="000000"/>
        </w:rPr>
      </w:pPr>
      <w:r>
        <w:rPr>
          <w:color w:val="000000"/>
        </w:rPr>
        <w:t>“</w:t>
      </w:r>
      <w:r>
        <w:rPr>
          <w:rFonts w:ascii="Times New Roman" w:hAnsi="Times New Roman"/>
          <w:color w:val="000000"/>
          <w:sz w:val="20"/>
        </w:rPr>
        <w:t>Other than Jointly-Owned Collaboration Technology that arose from performance of a Collaboration Plan or that arises from performance of any Cooperation Plan, the Parties do not intend that any Know-How be conceived, discovered, developed or otherwise made jointly by or on behalf of the Parties (or their respective Affiliates) under or in connection with this Agreement or that any jointly-owned Patent Rights or other intellectual property rights will arise with respect thereto (“</w:t>
      </w:r>
      <w:r>
        <w:rPr>
          <w:rFonts w:ascii="Times New Roman" w:hAnsi="Times New Roman"/>
          <w:b/>
          <w:i/>
          <w:color w:val="000000"/>
          <w:sz w:val="20"/>
        </w:rPr>
        <w:t>Other Joint Technology</w:t>
      </w:r>
      <w:r>
        <w:rPr>
          <w:rFonts w:ascii="Times New Roman" w:hAnsi="Times New Roman"/>
          <w:color w:val="000000"/>
          <w:sz w:val="20"/>
        </w:rPr>
        <w:t xml:space="preserve">”).  As such, Ionis is under no obligation to provide any support to AstraZeneca except (i) as expressly set forth in the technology transfer plan under </w:t>
      </w:r>
      <w:r>
        <w:rPr>
          <w:rFonts w:ascii="Times New Roman" w:hAnsi="Times New Roman"/>
          <w:color w:val="000000"/>
          <w:sz w:val="20"/>
          <w:u w:val="single"/>
        </w:rPr>
        <w:t>Section 4.9</w:t>
      </w:r>
      <w:r>
        <w:rPr>
          <w:rFonts w:ascii="Times New Roman" w:hAnsi="Times New Roman"/>
          <w:color w:val="000000"/>
          <w:sz w:val="20"/>
        </w:rPr>
        <w:t xml:space="preserve"> (Lead [***] Compound Technology Transfer), which is attached hereto as </w:t>
      </w:r>
      <w:r>
        <w:rPr>
          <w:rFonts w:ascii="Times New Roman" w:hAnsi="Times New Roman"/>
          <w:smallCaps/>
          <w:color w:val="000000"/>
          <w:sz w:val="20"/>
          <w:u w:val="single"/>
        </w:rPr>
        <w:t>Appendix</w:t>
      </w:r>
      <w:r>
        <w:rPr>
          <w:rFonts w:ascii="Times New Roman" w:hAnsi="Times New Roman"/>
          <w:color w:val="000000"/>
          <w:sz w:val="20"/>
          <w:u w:val="single"/>
        </w:rPr>
        <w:t xml:space="preserve"> 9</w:t>
      </w:r>
      <w:r>
        <w:rPr>
          <w:rFonts w:ascii="Times New Roman" w:hAnsi="Times New Roman"/>
          <w:color w:val="000000"/>
          <w:sz w:val="20"/>
        </w:rPr>
        <w:t xml:space="preserve">, (ii) in accordance with </w:t>
      </w:r>
      <w:r>
        <w:rPr>
          <w:rFonts w:ascii="Times New Roman" w:hAnsi="Times New Roman"/>
          <w:color w:val="000000"/>
          <w:sz w:val="20"/>
          <w:u w:val="single"/>
        </w:rPr>
        <w:t>Section 4.9.1</w:t>
      </w:r>
      <w:r>
        <w:rPr>
          <w:rFonts w:ascii="Times New Roman" w:hAnsi="Times New Roman"/>
          <w:color w:val="000000"/>
          <w:sz w:val="20"/>
        </w:rPr>
        <w:t xml:space="preserve"> (Licensed Know-How – Generally) and </w:t>
      </w:r>
      <w:r>
        <w:rPr>
          <w:rFonts w:ascii="Times New Roman" w:hAnsi="Times New Roman"/>
          <w:color w:val="000000"/>
          <w:sz w:val="20"/>
          <w:u w:val="single"/>
        </w:rPr>
        <w:t>Section 4.9.2</w:t>
      </w:r>
      <w:r>
        <w:rPr>
          <w:rFonts w:ascii="Times New Roman" w:hAnsi="Times New Roman"/>
          <w:color w:val="000000"/>
          <w:sz w:val="20"/>
        </w:rPr>
        <w:t xml:space="preserve"> (Ionis Manufacturing and Analytical Know-How), (iii) as expressly set forth in a technology transfer plan agreed under </w:t>
      </w:r>
      <w:r>
        <w:rPr>
          <w:rFonts w:ascii="Times New Roman" w:hAnsi="Times New Roman"/>
          <w:color w:val="000000"/>
          <w:sz w:val="20"/>
          <w:u w:val="single"/>
        </w:rPr>
        <w:t>Section 4.10</w:t>
      </w:r>
      <w:r>
        <w:rPr>
          <w:rFonts w:ascii="Times New Roman" w:hAnsi="Times New Roman"/>
          <w:color w:val="000000"/>
          <w:sz w:val="20"/>
        </w:rPr>
        <w:t xml:space="preserve"> (Technology  Transfer for [***]), and (iv) under any Cooperation Plan agreed in accordance with </w:t>
      </w:r>
      <w:r>
        <w:rPr>
          <w:rFonts w:ascii="Times New Roman" w:hAnsi="Times New Roman"/>
          <w:color w:val="000000"/>
          <w:sz w:val="20"/>
          <w:u w:val="single"/>
        </w:rPr>
        <w:t>Section 4.11</w:t>
      </w:r>
      <w:r>
        <w:rPr>
          <w:rFonts w:ascii="Times New Roman" w:hAnsi="Times New Roman"/>
          <w:color w:val="000000"/>
          <w:sz w:val="20"/>
        </w:rPr>
        <w:t xml:space="preserve"> (Cooperation Plans).  In the event that any such Other Joint Technology does arise, each Party shall promptly disclose to its own IP Manager regarding the matter.  Thereafter, each Party’s respective IP Manager will meet to discuss the information received for coordination regarding any further actions to take with respect to such Other Joint Technology.”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7" w:name="z1337ed3252334c69afe0bac45784e6d2"/>
      <w:bookmarkStart w:id="158" w:name="z1337ed3252334c69afe0bac45784e6d2"/>
      <w:bookmarkEnd w:id="15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q.</w:t>
            </w:r>
          </w:p>
        </w:tc>
        <w:tc>
          <w:tcPr>
            <w:tcW w:w="9967" w:type="dxa"/>
            <w:tcBorders/>
            <w:vAlign w:val="center"/>
          </w:tcPr>
          <w:p>
            <w:pPr>
              <w:pStyle w:val="TableContents"/>
              <w:bidi w:val="0"/>
              <w:spacing w:before="0" w:after="0"/>
              <w:jc w:val="both"/>
              <w:rPr>
                <w:sz w:val="24"/>
              </w:rPr>
            </w:pPr>
            <w:r>
              <w:rPr>
                <w:b/>
                <w:sz w:val="20"/>
                <w:u w:val="single"/>
              </w:rPr>
              <w:t>Section 7.2.2(b)</w:t>
            </w:r>
            <w:r>
              <w:rPr>
                <w:sz w:val="20"/>
              </w:rPr>
              <w:t xml:space="preserve">.  </w:t>
            </w:r>
            <w:r>
              <w:rPr>
                <w:sz w:val="20"/>
                <w:u w:val="single"/>
              </w:rPr>
              <w:t>Section 7.2.2(b)</w:t>
            </w:r>
            <w:r>
              <w:rPr>
                <w:sz w:val="20"/>
              </w:rPr>
              <w:t xml:space="preserve"> (Ionis Product-Specific Patents and Jointly-Owned Collaboration Patents)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9" w:name="z25d123edaa33410f89ca80f6d5b0f3f9"/>
      <w:bookmarkStart w:id="160" w:name="z25d123edaa33410f89ca80f6d5b0f3f9"/>
      <w:bookmarkEnd w:id="160"/>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pPr>
            <w:r>
              <w:rPr/>
            </w:r>
          </w:p>
        </w:tc>
        <w:tc>
          <w:tcPr>
            <w:tcW w:w="251" w:type="dxa"/>
            <w:tcBorders/>
            <w:vAlign w:val="center"/>
          </w:tcPr>
          <w:p>
            <w:pPr>
              <w:pStyle w:val="TableContents"/>
              <w:bidi w:val="0"/>
              <w:spacing w:before="0" w:after="283"/>
              <w:jc w:val="left"/>
              <w:rPr/>
            </w:pPr>
            <w:r>
              <w:rPr/>
              <w:t>“</w:t>
            </w:r>
            <w:r>
              <w:rPr>
                <w:b/>
              </w:rPr>
              <w:t>(b)</w:t>
            </w:r>
          </w:p>
        </w:tc>
        <w:tc>
          <w:tcPr>
            <w:tcW w:w="9916" w:type="dxa"/>
            <w:tcBorders/>
            <w:vAlign w:val="center"/>
          </w:tcPr>
          <w:p>
            <w:pPr>
              <w:pStyle w:val="TableContents"/>
              <w:bidi w:val="0"/>
              <w:spacing w:before="0" w:after="0"/>
              <w:jc w:val="both"/>
              <w:rPr>
                <w:sz w:val="24"/>
              </w:rPr>
            </w:pPr>
            <w:r>
              <w:rPr>
                <w:b/>
                <w:sz w:val="20"/>
                <w:u w:val="single"/>
              </w:rPr>
              <w:t>Ionis Product-Specific Patents and Jointly-Owned Collaboration Patents</w:t>
            </w:r>
            <w:r>
              <w:rPr>
                <w:b/>
                <w:sz w:val="20"/>
              </w:rPr>
              <w:t>.</w:t>
            </w:r>
            <w:r>
              <w:rPr>
                <w:sz w:val="24"/>
              </w:rPr>
              <w:t xml:space="preserve">  </w:t>
            </w:r>
            <w:r>
              <w:rPr>
                <w:sz w:val="20"/>
              </w:rPr>
              <w:t xml:space="preserve">On an Exclusive Target-by-Exclusive Target basis, following the Collaboration Program Exercise Date with respect to such Exclusive Target (or, with respect to [***], following the Fourth Amendment Effective Date) so long as the applicable license to AstraZeneca under </w:t>
            </w:r>
            <w:r>
              <w:rPr>
                <w:sz w:val="20"/>
                <w:u w:val="single"/>
              </w:rPr>
              <w:t>Section 4.1.1</w:t>
            </w:r>
            <w:r>
              <w:rPr>
                <w:sz w:val="20"/>
              </w:rPr>
              <w:t xml:space="preserve"> is in effect, AstraZeneca will control and be responsible for all aspects of the Prosecution and Maintenance of the (i) Ionis Product-Specific Patents and (ii) Jointly-Owned Collaboration Patents that are not Ionis Core Technology Patents or Ionis Manufacturing and Analytical Patents, in each case (i) and (ii) to the same extent Ionis had the right to control and was responsible for such Prosecution and Maintenance immediately prior to such license (or such milestone payment), subject to </w:t>
            </w:r>
            <w:r>
              <w:rPr>
                <w:sz w:val="20"/>
                <w:u w:val="single"/>
              </w:rPr>
              <w:t>Section 7.2.3</w:t>
            </w:r>
            <w:r>
              <w:rPr>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61" w:name="4ae3c8a39ded4df6809079658d1c4dcb"/>
      <w:bookmarkStart w:id="162" w:name="4ae3c8a39ded4df6809079658d1c4dcb"/>
      <w:bookmarkEnd w:id="162"/>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 xml:space="preserve">r. </w:t>
            </w:r>
          </w:p>
        </w:tc>
        <w:tc>
          <w:tcPr>
            <w:tcW w:w="9977" w:type="dxa"/>
            <w:tcBorders/>
            <w:vAlign w:val="center"/>
          </w:tcPr>
          <w:p>
            <w:pPr>
              <w:pStyle w:val="TableContents"/>
              <w:bidi w:val="0"/>
              <w:spacing w:before="0" w:after="283"/>
              <w:jc w:val="both"/>
              <w:rPr/>
            </w:pPr>
            <w:r>
              <w:rPr>
                <w:b/>
                <w:u w:val="single"/>
              </w:rPr>
              <w:t>Section 7.2.4</w:t>
            </w:r>
            <w:r>
              <w:rPr/>
              <w:t xml:space="preserve">.   The following subsection is inserted after </w:t>
            </w:r>
            <w:r>
              <w:rPr>
                <w:u w:val="single"/>
              </w:rPr>
              <w:t>Section 7.2.4(e)</w:t>
            </w:r>
            <w:r>
              <w:rPr/>
              <w:t xml:space="preserve"> (Other Matters Pertaining to Prosecution and Maintenance of Patents) as new </w:t>
            </w:r>
            <w:r>
              <w:rPr>
                <w:u w:val="single"/>
              </w:rPr>
              <w:t>Section 7.2.4(f):</w:t>
            </w:r>
          </w:p>
        </w:tc>
      </w:tr>
    </w:tbl>
    <w:p>
      <w:pPr>
        <w:pStyle w:val="TextBody"/>
        <w:bidi w:val="0"/>
        <w:spacing w:before="0" w:after="0"/>
        <w:jc w:val="left"/>
        <w:rPr>
          <w:color w:val="000000"/>
        </w:rPr>
      </w:pPr>
      <w:r>
        <w:rPr>
          <w:color w:val="000000"/>
        </w:rPr>
        <w:t> </w:t>
      </w:r>
    </w:p>
    <w:p>
      <w:pPr>
        <w:pStyle w:val="TextBody"/>
        <w:bidi w:val="0"/>
        <w:spacing w:before="0" w:after="0"/>
        <w:ind w:left="1627" w:right="0" w:hanging="0"/>
        <w:jc w:val="both"/>
        <w:rPr>
          <w:color w:val="000000"/>
        </w:rPr>
      </w:pPr>
      <w:r>
        <w:rPr>
          <w:color w:val="000000"/>
        </w:rPr>
        <w:t>“</w:t>
      </w:r>
      <w:r>
        <w:rPr>
          <w:rFonts w:ascii="Times New Roman" w:hAnsi="Times New Roman"/>
          <w:color w:val="000000"/>
          <w:sz w:val="20"/>
        </w:rPr>
        <w:t xml:space="preserve">(f)  If, at the Fourth Amendment Effective Date, no Ionis Product-Specific Patent has been filed claiming the specific composition of matter of the Lead [***] Compound, AstraZeneca will control and be responsible for the filing of the patent application claiming such specific composition of matter in accordance with </w:t>
      </w:r>
      <w:r>
        <w:rPr>
          <w:rFonts w:ascii="Times New Roman" w:hAnsi="Times New Roman"/>
          <w:color w:val="000000"/>
          <w:sz w:val="20"/>
          <w:u w:val="single"/>
        </w:rPr>
        <w:t>Section 7.2.2(b)</w:t>
      </w:r>
      <w:r>
        <w:rPr>
          <w:rFonts w:ascii="Times New Roman" w:hAnsi="Times New Roman"/>
          <w:color w:val="000000"/>
          <w:sz w:val="20"/>
        </w:rPr>
        <w:t>.  The Parties will cooperate in good faith on the drafting of the patent application, with Ionis providing input as requested by AstraZeneca, to ensure efficient drafting and timely filing of such a patent application.”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3" w:name="z6aad82c23276434187b2bea0147cc978"/>
      <w:bookmarkStart w:id="164" w:name="z6aad82c23276434187b2bea0147cc978"/>
      <w:bookmarkEnd w:id="164"/>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s.</w:t>
            </w:r>
          </w:p>
        </w:tc>
        <w:tc>
          <w:tcPr>
            <w:tcW w:w="9997" w:type="dxa"/>
            <w:tcBorders/>
            <w:vAlign w:val="center"/>
          </w:tcPr>
          <w:p>
            <w:pPr>
              <w:pStyle w:val="TableContents"/>
              <w:bidi w:val="0"/>
              <w:spacing w:before="0" w:after="0"/>
              <w:jc w:val="both"/>
              <w:rPr>
                <w:sz w:val="24"/>
              </w:rPr>
            </w:pPr>
            <w:r>
              <w:rPr>
                <w:b/>
                <w:sz w:val="20"/>
                <w:u w:val="single"/>
              </w:rPr>
              <w:t>Section 7.5</w:t>
            </w:r>
            <w:r>
              <w:rPr>
                <w:sz w:val="20"/>
              </w:rPr>
              <w:t xml:space="preserve">.  </w:t>
            </w:r>
            <w:r>
              <w:rPr>
                <w:sz w:val="20"/>
                <w:u w:val="single"/>
              </w:rPr>
              <w:t>Section 7.5</w:t>
            </w:r>
            <w:r>
              <w:rPr>
                <w:sz w:val="20"/>
              </w:rPr>
              <w:t xml:space="preserve"> (Enforcement of Patents Against Competitive Infringement)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5" w:name="zf9341b51b9fe4fc49e6510d871cb8f4f"/>
      <w:bookmarkStart w:id="166" w:name="zf9341b51b9fe4fc49e6510d871cb8f4f"/>
      <w:bookmarkEnd w:id="166"/>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pPr>
            <w:r>
              <w:rPr/>
            </w:r>
          </w:p>
        </w:tc>
        <w:tc>
          <w:tcPr>
            <w:tcW w:w="332" w:type="dxa"/>
            <w:tcBorders/>
            <w:vAlign w:val="center"/>
          </w:tcPr>
          <w:p>
            <w:pPr>
              <w:pStyle w:val="TableContents"/>
              <w:bidi w:val="0"/>
              <w:spacing w:before="0" w:after="283"/>
              <w:jc w:val="left"/>
              <w:rPr/>
            </w:pPr>
            <w:r>
              <w:rPr/>
              <w:t>“</w:t>
            </w:r>
            <w:r>
              <w:rPr>
                <w:b/>
              </w:rPr>
              <w:t>7.5</w:t>
            </w:r>
          </w:p>
        </w:tc>
        <w:tc>
          <w:tcPr>
            <w:tcW w:w="9835" w:type="dxa"/>
            <w:tcBorders/>
            <w:vAlign w:val="center"/>
          </w:tcPr>
          <w:p>
            <w:pPr>
              <w:pStyle w:val="TableContents"/>
              <w:bidi w:val="0"/>
              <w:spacing w:before="0" w:after="0"/>
              <w:jc w:val="both"/>
              <w:rPr>
                <w:sz w:val="24"/>
              </w:rPr>
            </w:pPr>
            <w:r>
              <w:rPr>
                <w:b/>
                <w:sz w:val="20"/>
                <w:u w:val="single"/>
              </w:rPr>
              <w:t>Enforcement of Patents Against Competitive Infringement</w:t>
            </w:r>
            <w:r>
              <w:rPr>
                <w:sz w:val="20"/>
              </w:rPr>
              <w:t>.  With respect to infringement, unauthorized use, misappropriation or threatened infringement by a Third Party of any Product-Specific Patent by reason of the development, manufacture, use or commercialization of a product that binds to a Collaboration Target or to [***] in the Field (“</w:t>
            </w:r>
            <w:r>
              <w:rPr>
                <w:b/>
                <w:i/>
                <w:sz w:val="20"/>
              </w:rPr>
              <w:t>Competitive Infringement</w:t>
            </w:r>
            <w:r>
              <w:rPr>
                <w:sz w:val="20"/>
              </w:rPr>
              <w:t xml:space="preserve">”), prior to the applicable Collaboration Program Exercise Date, or, with respect to [***], the Fourth Amendment Effective Date, Ionis will have the sole right (with no obligation to discuss with AstraZeneca), but not the obligation, to institute, prosecute, and control a Proceeding with respect thereto.  With respect to any Competitive Infringement after the Fourth Amendment Effective Date, the Parties will handle such Competitive Infringement in accordance with the remainder of this </w:t>
            </w:r>
            <w:r>
              <w:rPr>
                <w:sz w:val="20"/>
                <w:u w:val="single"/>
              </w:rPr>
              <w:t>Section 7.5</w:t>
            </w:r>
            <w:r>
              <w:rPr>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7" w:name="zc7cd8b64248545a98cf74b161f6ef676"/>
      <w:bookmarkStart w:id="168" w:name="zc7cd8b64248545a98cf74b161f6ef676"/>
      <w:bookmarkEnd w:id="168"/>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t.</w:t>
            </w:r>
          </w:p>
        </w:tc>
        <w:tc>
          <w:tcPr>
            <w:tcW w:w="10027" w:type="dxa"/>
            <w:tcBorders/>
            <w:vAlign w:val="center"/>
          </w:tcPr>
          <w:p>
            <w:pPr>
              <w:pStyle w:val="TableContents"/>
              <w:bidi w:val="0"/>
              <w:spacing w:before="0" w:after="0"/>
              <w:jc w:val="both"/>
              <w:rPr>
                <w:sz w:val="24"/>
              </w:rPr>
            </w:pPr>
            <w:r>
              <w:rPr>
                <w:b/>
                <w:sz w:val="20"/>
                <w:u w:val="single"/>
              </w:rPr>
              <w:t>Section 7.5.2</w:t>
            </w:r>
            <w:r>
              <w:rPr>
                <w:sz w:val="20"/>
              </w:rPr>
              <w:t xml:space="preserve">.  The first sentence of </w:t>
            </w:r>
            <w:r>
              <w:rPr>
                <w:sz w:val="20"/>
                <w:u w:val="single"/>
              </w:rPr>
              <w:t>Section 7.5.2</w:t>
            </w:r>
            <w:r>
              <w:rPr>
                <w:sz w:val="20"/>
              </w:rPr>
              <w:t xml:space="preserve"> (Control of Competitive Infringement Proceedings) is hereby deleted in its entirety and replaced with the following:</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 xml:space="preserve">For any Competitive Infringement with respect to a Product licensed to AstraZeneca under </w:t>
      </w:r>
      <w:r>
        <w:rPr>
          <w:rFonts w:ascii="Times New Roman" w:hAnsi="Times New Roman"/>
          <w:color w:val="000000"/>
          <w:sz w:val="20"/>
          <w:u w:val="single"/>
        </w:rPr>
        <w:t>Section 4.1.1</w:t>
      </w:r>
      <w:r>
        <w:rPr>
          <w:rFonts w:ascii="Times New Roman" w:hAnsi="Times New Roman"/>
          <w:color w:val="000000"/>
          <w:sz w:val="20"/>
        </w:rPr>
        <w:t xml:space="preserve"> that occurs after the applicable Collaboration Program Exercise Date (or, with respect to [***] Products, that occurs after the Fourth Amendment Effective Date), so long as part of such Proceeding AstraZeneca also enforces any Patent Rights Controlled by AstraZeneca (including any Ionis Product-Specific Patents assigned by Ionis to AstraZeneca under this Agreement) being infringed that Cover such Product, then AstraZeneca will have the first right, but not the obligation, to institute, prosecute, and control a Proceeding with respect thereto by counsel of its own choice at its own expense, and Ionis will have the right, at its own expense, to be represented in that action by counsel of its own choice, </w:t>
      </w:r>
      <w:r>
        <w:rPr>
          <w:rFonts w:ascii="Times New Roman" w:hAnsi="Times New Roman"/>
          <w:i/>
          <w:color w:val="000000"/>
          <w:sz w:val="20"/>
        </w:rPr>
        <w:t>however</w:t>
      </w:r>
      <w:r>
        <w:rPr>
          <w:rFonts w:ascii="Times New Roman" w:hAnsi="Times New Roman"/>
          <w:color w:val="000000"/>
          <w:sz w:val="20"/>
        </w:rPr>
        <w:t>, AstraZeneca will have the right to control such litigation.”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9" w:name="z0863ebacf8ac4d9ab5b2583d3ada87f9"/>
      <w:bookmarkStart w:id="170" w:name="z0863ebacf8ac4d9ab5b2583d3ada87f9"/>
      <w:bookmarkEnd w:id="170"/>
    </w:p>
    <w:tbl>
      <w:tblPr>
        <w:tblW w:w="9813" w:type="dxa"/>
        <w:jc w:val="left"/>
        <w:tblInd w:w="0" w:type="dxa"/>
        <w:tblLayout w:type="fixed"/>
        <w:tblCellMar>
          <w:top w:w="0" w:type="dxa"/>
          <w:left w:w="0" w:type="dxa"/>
          <w:bottom w:w="0" w:type="dxa"/>
          <w:right w:w="0" w:type="dxa"/>
        </w:tblCellMar>
      </w:tblPr>
      <w:tblGrid>
        <w:gridCol w:w="38"/>
        <w:gridCol w:w="200"/>
        <w:gridCol w:w="957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u.</w:t>
            </w:r>
          </w:p>
        </w:tc>
        <w:tc>
          <w:tcPr>
            <w:tcW w:w="9575" w:type="dxa"/>
            <w:tcBorders/>
            <w:vAlign w:val="center"/>
          </w:tcPr>
          <w:p>
            <w:pPr>
              <w:pStyle w:val="TableContents"/>
              <w:bidi w:val="0"/>
              <w:spacing w:before="0" w:after="0"/>
              <w:jc w:val="both"/>
              <w:rPr>
                <w:sz w:val="24"/>
              </w:rPr>
            </w:pPr>
            <w:r>
              <w:rPr>
                <w:b/>
                <w:sz w:val="20"/>
                <w:u w:val="single"/>
              </w:rPr>
              <w:t>Section 7.9</w:t>
            </w:r>
            <w:r>
              <w:rPr>
                <w:sz w:val="20"/>
              </w:rPr>
              <w:t xml:space="preserve">.  </w:t>
            </w:r>
            <w:r>
              <w:rPr>
                <w:sz w:val="20"/>
                <w:u w:val="single"/>
              </w:rPr>
              <w:t>Section 7.9</w:t>
            </w:r>
            <w:r>
              <w:rPr>
                <w:sz w:val="20"/>
              </w:rPr>
              <w:t xml:space="preserve"> (Obligation to Third Parties) is hereby deleted in its entirety and replaced with the following:</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71" w:name="zf52249bf28de4f058e3b16ac583b0ffb"/>
      <w:bookmarkStart w:id="172" w:name="zf52249bf28de4f058e3b16ac583b0ffb"/>
      <w:bookmarkEnd w:id="172"/>
    </w:p>
    <w:tbl>
      <w:tblPr>
        <w:tblW w:w="10205" w:type="dxa"/>
        <w:jc w:val="left"/>
        <w:tblInd w:w="0" w:type="dxa"/>
        <w:tblLayout w:type="fixed"/>
        <w:tblCellMar>
          <w:top w:w="0" w:type="dxa"/>
          <w:left w:w="0" w:type="dxa"/>
          <w:bottom w:w="0" w:type="dxa"/>
          <w:right w:w="0" w:type="dxa"/>
        </w:tblCellMar>
      </w:tblPr>
      <w:tblGrid>
        <w:gridCol w:w="38"/>
        <w:gridCol w:w="327"/>
        <w:gridCol w:w="9840"/>
      </w:tblGrid>
      <w:tr>
        <w:trPr/>
        <w:tc>
          <w:tcPr>
            <w:tcW w:w="38" w:type="dxa"/>
            <w:tcBorders/>
            <w:vAlign w:val="center"/>
          </w:tcPr>
          <w:p>
            <w:pPr>
              <w:pStyle w:val="TableContents"/>
              <w:bidi w:val="0"/>
              <w:spacing w:before="0" w:after="283"/>
              <w:jc w:val="left"/>
              <w:rPr/>
            </w:pPr>
            <w:r>
              <w:rPr/>
            </w:r>
          </w:p>
        </w:tc>
        <w:tc>
          <w:tcPr>
            <w:tcW w:w="327" w:type="dxa"/>
            <w:tcBorders/>
            <w:vAlign w:val="center"/>
          </w:tcPr>
          <w:p>
            <w:pPr>
              <w:pStyle w:val="TableContents"/>
              <w:bidi w:val="0"/>
              <w:spacing w:before="0" w:after="283"/>
              <w:jc w:val="left"/>
              <w:rPr/>
            </w:pPr>
            <w:r>
              <w:rPr/>
              <w:t>“</w:t>
            </w:r>
            <w:r>
              <w:rPr>
                <w:b/>
              </w:rPr>
              <w:t>7.9</w:t>
            </w:r>
          </w:p>
        </w:tc>
        <w:tc>
          <w:tcPr>
            <w:tcW w:w="9840" w:type="dxa"/>
            <w:tcBorders/>
            <w:vAlign w:val="center"/>
          </w:tcPr>
          <w:p>
            <w:pPr>
              <w:pStyle w:val="TableContents"/>
              <w:bidi w:val="0"/>
              <w:spacing w:before="0" w:after="0"/>
              <w:jc w:val="both"/>
              <w:rPr>
                <w:sz w:val="24"/>
              </w:rPr>
            </w:pPr>
            <w:r>
              <w:rPr>
                <w:b/>
                <w:sz w:val="20"/>
                <w:u w:val="single"/>
              </w:rPr>
              <w:t>Obligations to Third Parties</w:t>
            </w:r>
            <w:r>
              <w:rPr>
                <w:b/>
                <w:sz w:val="20"/>
              </w:rPr>
              <w:t xml:space="preserve">.  </w:t>
            </w:r>
            <w:r>
              <w:rPr>
                <w:sz w:val="20"/>
              </w:rPr>
              <w:t xml:space="preserve">Notwithstanding any of the foregoing, each Party’s rights and obligations with respect to Licensed Technology under this </w:t>
            </w:r>
            <w:r>
              <w:rPr>
                <w:sz w:val="20"/>
                <w:u w:val="single"/>
              </w:rPr>
              <w:t>ARTICLE 7</w:t>
            </w:r>
            <w:r>
              <w:rPr>
                <w:sz w:val="20"/>
              </w:rPr>
              <w:t xml:space="preserve"> will be subject to the Third Party rights and obligations under (i) Third Party agreements the restrictions and obligations of which AstraZeneca agreed to under </w:t>
            </w:r>
            <w:r>
              <w:rPr>
                <w:sz w:val="20"/>
                <w:u w:val="single"/>
              </w:rPr>
              <w:t>Section 1.13.2</w:t>
            </w:r>
            <w:r>
              <w:rPr>
                <w:sz w:val="20"/>
              </w:rPr>
              <w:t xml:space="preserve">, </w:t>
            </w:r>
            <w:r>
              <w:rPr>
                <w:sz w:val="20"/>
                <w:u w:val="single"/>
              </w:rPr>
              <w:t>Section 6.8.2(a)</w:t>
            </w:r>
            <w:r>
              <w:rPr>
                <w:sz w:val="20"/>
              </w:rPr>
              <w:t xml:space="preserve">, </w:t>
            </w:r>
            <w:r>
              <w:rPr>
                <w:sz w:val="20"/>
                <w:u w:val="single"/>
              </w:rPr>
              <w:t>Section 6.8.2(b)(2)</w:t>
            </w:r>
            <w:r>
              <w:rPr>
                <w:sz w:val="20"/>
              </w:rPr>
              <w:t xml:space="preserve">, and </w:t>
            </w:r>
            <w:r>
              <w:rPr>
                <w:sz w:val="20"/>
                <w:u w:val="single"/>
              </w:rPr>
              <w:t>Section 6.8.2(c)(2)</w:t>
            </w:r>
            <w:r>
              <w:rPr>
                <w:sz w:val="20"/>
              </w:rPr>
              <w:t xml:space="preserve">, (ii) Prior Agreements as such agreements are in effect on the date such Collaboration Target was designated a High Interest Target and placed on the High Interest Target List (or, with respect to [***], the Fourth Amendment Effective Date) (and not as such Prior Agreement may be amended thereafter), and (iii) Ionis In-License Agreements as such agreements are in effect on the date identified as Ionis In-License Agreements and added to </w:t>
            </w:r>
            <w:r>
              <w:rPr>
                <w:smallCaps/>
                <w:sz w:val="20"/>
                <w:u w:val="single"/>
              </w:rPr>
              <w:t>Appendix</w:t>
            </w:r>
            <w:r>
              <w:rPr>
                <w:sz w:val="20"/>
                <w:u w:val="single"/>
              </w:rPr>
              <w:t xml:space="preserve"> 3</w:t>
            </w:r>
            <w:r>
              <w:rPr>
                <w:sz w:val="20"/>
              </w:rPr>
              <w:t xml:space="preserve"> in accordance with </w:t>
            </w:r>
            <w:r>
              <w:rPr>
                <w:sz w:val="20"/>
                <w:u w:val="single"/>
              </w:rPr>
              <w:t>Section 6.8.5</w:t>
            </w:r>
            <w:r>
              <w:rPr>
                <w:sz w:val="20"/>
              </w:rPr>
              <w:t xml:space="preserve"> and have been disclosed to AstraZeneca prior to such date (and in the form disclosed to AstraZeneca prior to such date and not as such Ionis In-License Agreements may be amended thereafter unless such amendment is made with AstraZeneca’s prior written consent); </w:t>
            </w:r>
            <w:r>
              <w:rPr>
                <w:i/>
                <w:sz w:val="20"/>
              </w:rPr>
              <w:t>provided, however</w:t>
            </w:r>
            <w:r>
              <w:rPr>
                <w:sz w:val="20"/>
              </w:rPr>
              <w:t>, that, to the extent that Ionis has a non-transferable right to prosecute, maintain or enforce any Patent Rights licensed to AstraZeneca hereunder and this Agreement purports to grant any such rights to AstraZeneca, Ionis will act in such regard with respect to such Patent Rights at AstraZeneca’s direction.”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3" w:name="z4b859617da4f4c818f2d8de7368940a4"/>
      <w:bookmarkStart w:id="174" w:name="z4b859617da4f4c818f2d8de7368940a4"/>
      <w:bookmarkEnd w:id="17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v.</w:t>
            </w:r>
          </w:p>
        </w:tc>
        <w:tc>
          <w:tcPr>
            <w:tcW w:w="9967" w:type="dxa"/>
            <w:tcBorders/>
            <w:vAlign w:val="center"/>
          </w:tcPr>
          <w:p>
            <w:pPr>
              <w:pStyle w:val="TableContents"/>
              <w:bidi w:val="0"/>
              <w:spacing w:before="0" w:after="0"/>
              <w:jc w:val="both"/>
              <w:rPr>
                <w:sz w:val="24"/>
              </w:rPr>
            </w:pPr>
            <w:r>
              <w:rPr>
                <w:b/>
                <w:sz w:val="20"/>
                <w:u w:val="single"/>
              </w:rPr>
              <w:t>Section 8.2</w:t>
            </w:r>
            <w:r>
              <w:rPr>
                <w:sz w:val="20"/>
              </w:rPr>
              <w:t xml:space="preserve">.  </w:t>
            </w:r>
            <w:r>
              <w:rPr>
                <w:sz w:val="20"/>
                <w:u w:val="single"/>
              </w:rPr>
              <w:t>Section 8.2</w:t>
            </w:r>
            <w:r>
              <w:rPr>
                <w:sz w:val="20"/>
              </w:rPr>
              <w:t xml:space="preserve"> (Representations, Warranties and Covenants of Ionis) is hereby amended in accordance with the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5" w:name="zae44796016be48109f85a1a7dd93f2ea"/>
      <w:bookmarkStart w:id="176" w:name="zae44796016be48109f85a1a7dd93f2ea"/>
      <w:bookmarkEnd w:id="176"/>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0"/>
              <w:jc w:val="both"/>
              <w:rPr>
                <w:sz w:val="20"/>
              </w:rPr>
            </w:pPr>
            <w:r>
              <w:rPr>
                <w:sz w:val="20"/>
                <w:u w:val="single"/>
              </w:rPr>
              <w:t>Section 8.2</w:t>
            </w:r>
            <w:r>
              <w:rPr>
                <w:sz w:val="20"/>
              </w:rPr>
              <w:t xml:space="preserve"> (Representations, Warranties and Covenants of Ionis)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1e6dd736b11d4b81832aaa3e04ca4f34"/>
      <w:bookmarkStart w:id="178" w:name="z1e6dd736b11d4b81832aaa3e04ca4f34"/>
      <w:bookmarkEnd w:id="178"/>
    </w:p>
    <w:tbl>
      <w:tblPr>
        <w:tblW w:w="10205" w:type="dxa"/>
        <w:jc w:val="left"/>
        <w:tblInd w:w="0" w:type="dxa"/>
        <w:tblLayout w:type="fixed"/>
        <w:tblCellMar>
          <w:top w:w="0" w:type="dxa"/>
          <w:left w:w="0" w:type="dxa"/>
          <w:bottom w:w="0" w:type="dxa"/>
          <w:right w:w="0" w:type="dxa"/>
        </w:tblCellMar>
      </w:tblPr>
      <w:tblGrid>
        <w:gridCol w:w="38"/>
        <w:gridCol w:w="396"/>
        <w:gridCol w:w="9771"/>
      </w:tblGrid>
      <w:tr>
        <w:trPr/>
        <w:tc>
          <w:tcPr>
            <w:tcW w:w="38" w:type="dxa"/>
            <w:tcBorders/>
            <w:vAlign w:val="center"/>
          </w:tcPr>
          <w:p>
            <w:pPr>
              <w:pStyle w:val="TableContents"/>
              <w:bidi w:val="0"/>
              <w:spacing w:before="0" w:after="283"/>
              <w:jc w:val="left"/>
              <w:rPr/>
            </w:pPr>
            <w:r>
              <w:rPr/>
            </w:r>
          </w:p>
        </w:tc>
        <w:tc>
          <w:tcPr>
            <w:tcW w:w="396" w:type="dxa"/>
            <w:tcBorders/>
            <w:vAlign w:val="center"/>
          </w:tcPr>
          <w:p>
            <w:pPr>
              <w:pStyle w:val="TableContents"/>
              <w:bidi w:val="0"/>
              <w:spacing w:before="0" w:after="283"/>
              <w:jc w:val="left"/>
              <w:rPr/>
            </w:pPr>
            <w:r>
              <w:rPr/>
              <w:t>“</w:t>
            </w:r>
            <w:r>
              <w:rPr>
                <w:b/>
              </w:rPr>
              <w:t>8.2.</w:t>
            </w:r>
          </w:p>
        </w:tc>
        <w:tc>
          <w:tcPr>
            <w:tcW w:w="9771" w:type="dxa"/>
            <w:tcBorders/>
            <w:vAlign w:val="center"/>
          </w:tcPr>
          <w:p>
            <w:pPr>
              <w:pStyle w:val="TableContents"/>
              <w:bidi w:val="0"/>
              <w:spacing w:before="0" w:after="0"/>
              <w:jc w:val="both"/>
              <w:rPr>
                <w:sz w:val="24"/>
              </w:rPr>
            </w:pPr>
            <w:r>
              <w:rPr>
                <w:b/>
                <w:sz w:val="20"/>
                <w:u w:val="single"/>
              </w:rPr>
              <w:t>Representations, Warranties and Covenants of Ionis</w:t>
            </w:r>
            <w:r>
              <w:rPr>
                <w:b/>
                <w:sz w:val="20"/>
              </w:rPr>
              <w:t>.</w:t>
            </w:r>
            <w:r>
              <w:rPr>
                <w:sz w:val="24"/>
              </w:rPr>
              <w:t xml:space="preserve">  </w:t>
            </w:r>
            <w:r>
              <w:rPr>
                <w:sz w:val="20"/>
              </w:rPr>
              <w:t xml:space="preserve">Ionis hereby represents and warrants to AstraZeneca, as of the Effective Date (or, with respect to </w:t>
            </w:r>
            <w:r>
              <w:rPr>
                <w:sz w:val="20"/>
                <w:u w:val="single"/>
              </w:rPr>
              <w:t>Sections 8.2.13</w:t>
            </w:r>
            <w:r>
              <w:rPr>
                <w:sz w:val="20"/>
              </w:rPr>
              <w:t xml:space="preserve"> through </w:t>
            </w:r>
            <w:r>
              <w:rPr>
                <w:sz w:val="20"/>
                <w:u w:val="single"/>
              </w:rPr>
              <w:t>8.2.22</w:t>
            </w:r>
            <w:r>
              <w:rPr>
                <w:sz w:val="20"/>
              </w:rPr>
              <w:t>, as of the Fourth Amendment Effective Date) that:”;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9" w:name="z5d525ca1b85648d385a47c4d610dd213"/>
      <w:bookmarkStart w:id="180" w:name="z5d525ca1b85648d385a47c4d610dd213"/>
      <w:bookmarkEnd w:id="180"/>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sz w:val="20"/>
              </w:rPr>
            </w:pPr>
            <w:r>
              <w:rPr>
                <w:sz w:val="20"/>
                <w:u w:val="single"/>
              </w:rPr>
              <w:t>Section 8.2</w:t>
            </w:r>
            <w:r>
              <w:rPr>
                <w:sz w:val="20"/>
              </w:rPr>
              <w:t xml:space="preserve"> (Representations, Warranties and Covenants of Ionis) is hereby amended by adding the following new </w:t>
            </w:r>
            <w:r>
              <w:rPr>
                <w:sz w:val="20"/>
                <w:u w:val="single"/>
              </w:rPr>
              <w:t>Sections 8.2.13</w:t>
            </w:r>
            <w:r>
              <w:rPr>
                <w:sz w:val="20"/>
              </w:rPr>
              <w:t xml:space="preserve"> through </w:t>
            </w:r>
            <w:r>
              <w:rPr>
                <w:sz w:val="20"/>
                <w:u w:val="single"/>
              </w:rPr>
              <w:t>8.2.22</w:t>
            </w:r>
            <w:r>
              <w:rPr>
                <w:sz w:val="20"/>
              </w:rPr>
              <w:t xml:space="preserve"> at the end of </w:t>
            </w:r>
            <w:r>
              <w:rPr>
                <w:sz w:val="20"/>
                <w:u w:val="single"/>
              </w:rPr>
              <w:t>Section 8.2</w:t>
            </w:r>
            <w:r>
              <w:rPr>
                <w:sz w:val="20"/>
              </w:rPr>
              <w:t xml:space="preserve"> (Representations, Warranties and Covenants of Ionis):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1" w:name="z0403f824abaa4d99af5aedfba04f4fb8"/>
      <w:bookmarkStart w:id="182" w:name="z0403f824abaa4d99af5aedfba04f4fb8"/>
      <w:bookmarkEnd w:id="182"/>
    </w:p>
    <w:tbl>
      <w:tblPr>
        <w:tblW w:w="10205" w:type="dxa"/>
        <w:jc w:val="left"/>
        <w:tblInd w:w="0" w:type="dxa"/>
        <w:tblLayout w:type="fixed"/>
        <w:tblCellMar>
          <w:top w:w="0" w:type="dxa"/>
          <w:left w:w="0" w:type="dxa"/>
          <w:bottom w:w="0" w:type="dxa"/>
          <w:right w:w="0" w:type="dxa"/>
        </w:tblCellMar>
      </w:tblPr>
      <w:tblGrid>
        <w:gridCol w:w="38"/>
        <w:gridCol w:w="667"/>
        <w:gridCol w:w="9500"/>
      </w:tblGrid>
      <w:tr>
        <w:trPr/>
        <w:tc>
          <w:tcPr>
            <w:tcW w:w="38" w:type="dxa"/>
            <w:tcBorders/>
            <w:vAlign w:val="center"/>
          </w:tcPr>
          <w:p>
            <w:pPr>
              <w:pStyle w:val="TableContents"/>
              <w:bidi w:val="0"/>
              <w:spacing w:before="0" w:after="283"/>
              <w:jc w:val="left"/>
              <w:rPr/>
            </w:pPr>
            <w:r>
              <w:rPr/>
            </w:r>
          </w:p>
        </w:tc>
        <w:tc>
          <w:tcPr>
            <w:tcW w:w="667" w:type="dxa"/>
            <w:tcBorders/>
            <w:vAlign w:val="center"/>
          </w:tcPr>
          <w:p>
            <w:pPr>
              <w:pStyle w:val="TableContents"/>
              <w:bidi w:val="0"/>
              <w:spacing w:before="0" w:after="283"/>
              <w:jc w:val="left"/>
              <w:rPr/>
            </w:pPr>
            <w:r>
              <w:rPr/>
              <w:t>“</w:t>
            </w:r>
            <w:r>
              <w:rPr>
                <w:b/>
              </w:rPr>
              <w:t>8.2.13.</w:t>
            </w:r>
          </w:p>
        </w:tc>
        <w:tc>
          <w:tcPr>
            <w:tcW w:w="9500" w:type="dxa"/>
            <w:tcBorders/>
            <w:vAlign w:val="center"/>
          </w:tcPr>
          <w:p>
            <w:pPr>
              <w:pStyle w:val="TableContents"/>
              <w:bidi w:val="0"/>
              <w:spacing w:before="0" w:after="0"/>
              <w:jc w:val="both"/>
              <w:rPr/>
            </w:pPr>
            <w:r>
              <w:rPr/>
              <w:t>Ionis is the owner, or otherwise has the right to grant all rights and licenses it purports to grant to AstraZeneca with respect to the Licensed Technology under this Agreement for each of the Lead [***] Compound and the Secondary [***] Compound as it exists on the Fourth Amendment Effective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3" w:name="z1e17ac5025044fd09238395a85ae6cea"/>
      <w:bookmarkStart w:id="184" w:name="z1e17ac5025044fd09238395a85ae6cea"/>
      <w:bookmarkEnd w:id="184"/>
    </w:p>
    <w:tbl>
      <w:tblPr>
        <w:tblW w:w="10205" w:type="dxa"/>
        <w:jc w:val="left"/>
        <w:tblInd w:w="0" w:type="dxa"/>
        <w:tblLayout w:type="fixed"/>
        <w:tblCellMar>
          <w:top w:w="0" w:type="dxa"/>
          <w:left w:w="0" w:type="dxa"/>
          <w:bottom w:w="0" w:type="dxa"/>
          <w:right w:w="0" w:type="dxa"/>
        </w:tblCellMar>
      </w:tblPr>
      <w:tblGrid>
        <w:gridCol w:w="38"/>
        <w:gridCol w:w="646"/>
        <w:gridCol w:w="9521"/>
      </w:tblGrid>
      <w:tr>
        <w:trPr/>
        <w:tc>
          <w:tcPr>
            <w:tcW w:w="38" w:type="dxa"/>
            <w:tcBorders/>
            <w:vAlign w:val="center"/>
          </w:tcPr>
          <w:p>
            <w:pPr>
              <w:pStyle w:val="TableContents"/>
              <w:bidi w:val="0"/>
              <w:spacing w:before="0" w:after="283"/>
              <w:jc w:val="left"/>
              <w:rPr/>
            </w:pPr>
            <w:r>
              <w:rPr/>
            </w:r>
          </w:p>
        </w:tc>
        <w:tc>
          <w:tcPr>
            <w:tcW w:w="646" w:type="dxa"/>
            <w:tcBorders/>
            <w:vAlign w:val="center"/>
          </w:tcPr>
          <w:p>
            <w:pPr>
              <w:pStyle w:val="TableContents"/>
              <w:bidi w:val="0"/>
              <w:spacing w:before="0" w:after="283"/>
              <w:jc w:val="left"/>
              <w:rPr>
                <w:b/>
              </w:rPr>
            </w:pPr>
            <w:r>
              <w:rPr>
                <w:b/>
              </w:rPr>
              <w:t>8.2.14.</w:t>
            </w:r>
          </w:p>
        </w:tc>
        <w:tc>
          <w:tcPr>
            <w:tcW w:w="9521" w:type="dxa"/>
            <w:tcBorders/>
            <w:vAlign w:val="center"/>
          </w:tcPr>
          <w:p>
            <w:pPr>
              <w:pStyle w:val="TableContents"/>
              <w:bidi w:val="0"/>
              <w:spacing w:before="0" w:after="0"/>
              <w:jc w:val="both"/>
              <w:rPr/>
            </w:pPr>
            <w:r>
              <w:rPr/>
              <w:t>to Ionis’ Knowledge, all Licensed Patents with respect to each of the Lead [***] Compound and the Secondary [***] Compound have been filed and maintained properly and correctly in all material respects;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85" w:name="z80765aa43f8b43459fe9ea3d66dab9b8"/>
      <w:bookmarkStart w:id="186" w:name="z80765aa43f8b43459fe9ea3d66dab9b8"/>
      <w:bookmarkEnd w:id="186"/>
    </w:p>
    <w:tbl>
      <w:tblPr>
        <w:tblW w:w="10205" w:type="dxa"/>
        <w:jc w:val="left"/>
        <w:tblInd w:w="0" w:type="dxa"/>
        <w:tblLayout w:type="fixed"/>
        <w:tblCellMar>
          <w:top w:w="0" w:type="dxa"/>
          <w:left w:w="0" w:type="dxa"/>
          <w:bottom w:w="0" w:type="dxa"/>
          <w:right w:w="0" w:type="dxa"/>
        </w:tblCellMar>
      </w:tblPr>
      <w:tblGrid>
        <w:gridCol w:w="38"/>
        <w:gridCol w:w="627"/>
        <w:gridCol w:w="9540"/>
      </w:tblGrid>
      <w:tr>
        <w:trPr/>
        <w:tc>
          <w:tcPr>
            <w:tcW w:w="38" w:type="dxa"/>
            <w:tcBorders/>
            <w:vAlign w:val="center"/>
          </w:tcPr>
          <w:p>
            <w:pPr>
              <w:pStyle w:val="TableContents"/>
              <w:bidi w:val="0"/>
              <w:spacing w:before="0" w:after="283"/>
              <w:jc w:val="left"/>
              <w:rPr/>
            </w:pPr>
            <w:r>
              <w:rPr/>
            </w:r>
          </w:p>
        </w:tc>
        <w:tc>
          <w:tcPr>
            <w:tcW w:w="627" w:type="dxa"/>
            <w:tcBorders/>
            <w:vAlign w:val="center"/>
          </w:tcPr>
          <w:p>
            <w:pPr>
              <w:pStyle w:val="TableContents"/>
              <w:bidi w:val="0"/>
              <w:spacing w:before="0" w:after="283"/>
              <w:jc w:val="left"/>
              <w:rPr>
                <w:b/>
              </w:rPr>
            </w:pPr>
            <w:r>
              <w:rPr>
                <w:b/>
              </w:rPr>
              <w:t>8.2.15.</w:t>
            </w:r>
          </w:p>
        </w:tc>
        <w:tc>
          <w:tcPr>
            <w:tcW w:w="9540" w:type="dxa"/>
            <w:tcBorders/>
            <w:vAlign w:val="center"/>
          </w:tcPr>
          <w:p>
            <w:pPr>
              <w:pStyle w:val="TableContents"/>
              <w:bidi w:val="0"/>
              <w:spacing w:before="0" w:after="0"/>
              <w:jc w:val="both"/>
              <w:rPr/>
            </w:pPr>
            <w:r>
              <w:rPr/>
              <w:t xml:space="preserve">Ionis has not previously entered into any agreement, whether written or oral, with respect to, or otherwise assigned, transferred, licensed, conveyed or otherwise encumbered its right, title or interest in or to, the Licensed Technology with respect to the Lead [***] Compound or the Secondary [***] Compound (including by granting any covenant not to sue with respect thereto) in such a way as to make the representation set forth in </w:t>
            </w:r>
            <w:r>
              <w:rPr>
                <w:u w:val="single"/>
              </w:rPr>
              <w:t>Section 8.2.13</w:t>
            </w:r>
            <w:r>
              <w:rPr/>
              <w:t xml:space="preserve"> not true, and it will not enter into any such agreements or grant any such right, title or interest to any Person that is inconsistent with the rights and licenses granted to AstraZeneca under this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7" w:name="zeb2f111b555c42d4a3ebfbbb66a70a26"/>
      <w:bookmarkStart w:id="188" w:name="zeb2f111b555c42d4a3ebfbbb66a70a26"/>
      <w:bookmarkEnd w:id="188"/>
    </w:p>
    <w:tbl>
      <w:tblPr>
        <w:tblW w:w="10205" w:type="dxa"/>
        <w:jc w:val="left"/>
        <w:tblInd w:w="0" w:type="dxa"/>
        <w:tblLayout w:type="fixed"/>
        <w:tblCellMar>
          <w:top w:w="0" w:type="dxa"/>
          <w:left w:w="0" w:type="dxa"/>
          <w:bottom w:w="0" w:type="dxa"/>
          <w:right w:w="0" w:type="dxa"/>
        </w:tblCellMar>
      </w:tblPr>
      <w:tblGrid>
        <w:gridCol w:w="38"/>
        <w:gridCol w:w="636"/>
        <w:gridCol w:w="9531"/>
      </w:tblGrid>
      <w:tr>
        <w:trPr/>
        <w:tc>
          <w:tcPr>
            <w:tcW w:w="38" w:type="dxa"/>
            <w:tcBorders/>
            <w:vAlign w:val="center"/>
          </w:tcPr>
          <w:p>
            <w:pPr>
              <w:pStyle w:val="TableContents"/>
              <w:bidi w:val="0"/>
              <w:spacing w:before="0" w:after="283"/>
              <w:jc w:val="left"/>
              <w:rPr/>
            </w:pPr>
            <w:r>
              <w:rPr/>
            </w:r>
          </w:p>
        </w:tc>
        <w:tc>
          <w:tcPr>
            <w:tcW w:w="636" w:type="dxa"/>
            <w:tcBorders/>
            <w:vAlign w:val="center"/>
          </w:tcPr>
          <w:p>
            <w:pPr>
              <w:pStyle w:val="TableContents"/>
              <w:bidi w:val="0"/>
              <w:spacing w:before="0" w:after="283"/>
              <w:jc w:val="left"/>
              <w:rPr>
                <w:b/>
              </w:rPr>
            </w:pPr>
            <w:r>
              <w:rPr>
                <w:b/>
              </w:rPr>
              <w:t>8.2.16.</w:t>
            </w:r>
          </w:p>
        </w:tc>
        <w:tc>
          <w:tcPr>
            <w:tcW w:w="9531" w:type="dxa"/>
            <w:tcBorders/>
            <w:vAlign w:val="center"/>
          </w:tcPr>
          <w:p>
            <w:pPr>
              <w:pStyle w:val="TableContents"/>
              <w:bidi w:val="0"/>
              <w:spacing w:before="0" w:after="0"/>
              <w:jc w:val="both"/>
              <w:rPr/>
            </w:pPr>
            <w:r>
              <w:rPr/>
              <w:t>to Ionis’ Knowledge, each of the Licensed Patents with respect to the Lead [***] Compound or the Secondary [***] Compound properly identifies each and every inventor of the claims thereof as determined in accordance with the laws of the jurisdiction in which such Patent Right is issued or such application is pending;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9" w:name="z59f72593b32a4086b551e011563f9cd7"/>
      <w:bookmarkStart w:id="190" w:name="z59f72593b32a4086b551e011563f9cd7"/>
      <w:bookmarkEnd w:id="190"/>
    </w:p>
    <w:tbl>
      <w:tblPr>
        <w:tblW w:w="10205" w:type="dxa"/>
        <w:jc w:val="left"/>
        <w:tblInd w:w="0" w:type="dxa"/>
        <w:tblLayout w:type="fixed"/>
        <w:tblCellMar>
          <w:top w:w="0" w:type="dxa"/>
          <w:left w:w="0" w:type="dxa"/>
          <w:bottom w:w="0" w:type="dxa"/>
          <w:right w:w="0" w:type="dxa"/>
        </w:tblCellMar>
      </w:tblPr>
      <w:tblGrid>
        <w:gridCol w:w="38"/>
        <w:gridCol w:w="640"/>
        <w:gridCol w:w="9527"/>
      </w:tblGrid>
      <w:tr>
        <w:trPr/>
        <w:tc>
          <w:tcPr>
            <w:tcW w:w="38" w:type="dxa"/>
            <w:tcBorders/>
            <w:vAlign w:val="center"/>
          </w:tcPr>
          <w:p>
            <w:pPr>
              <w:pStyle w:val="TableContents"/>
              <w:bidi w:val="0"/>
              <w:spacing w:before="0" w:after="283"/>
              <w:jc w:val="left"/>
              <w:rPr/>
            </w:pPr>
            <w:r>
              <w:rPr/>
            </w:r>
          </w:p>
        </w:tc>
        <w:tc>
          <w:tcPr>
            <w:tcW w:w="640" w:type="dxa"/>
            <w:tcBorders/>
            <w:vAlign w:val="center"/>
          </w:tcPr>
          <w:p>
            <w:pPr>
              <w:pStyle w:val="TableContents"/>
              <w:bidi w:val="0"/>
              <w:spacing w:before="0" w:after="283"/>
              <w:jc w:val="left"/>
              <w:rPr>
                <w:b/>
              </w:rPr>
            </w:pPr>
            <w:r>
              <w:rPr>
                <w:b/>
              </w:rPr>
              <w:t>8.2.17.</w:t>
            </w:r>
          </w:p>
        </w:tc>
        <w:tc>
          <w:tcPr>
            <w:tcW w:w="9527" w:type="dxa"/>
            <w:tcBorders/>
            <w:vAlign w:val="center"/>
          </w:tcPr>
          <w:p>
            <w:pPr>
              <w:pStyle w:val="TableContents"/>
              <w:bidi w:val="0"/>
              <w:spacing w:before="0" w:after="0"/>
              <w:jc w:val="both"/>
              <w:rPr/>
            </w:pPr>
            <w:r>
              <w:rPr/>
              <w:t>Ionis has not received any written claim alleging, and does not have Knowledge of any fact or circumstance, indicating, that any of the Licensed Patents with respect to the Lead [***] Compound or the Secondary [***] Compound are invalid or unenforceable;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72f6e870a2404d4e83ca27870b738e9b"/>
      <w:bookmarkStart w:id="192" w:name="z72f6e870a2404d4e83ca27870b738e9b"/>
      <w:bookmarkEnd w:id="192"/>
    </w:p>
    <w:tbl>
      <w:tblPr>
        <w:tblW w:w="10205" w:type="dxa"/>
        <w:jc w:val="left"/>
        <w:tblInd w:w="0" w:type="dxa"/>
        <w:tblLayout w:type="fixed"/>
        <w:tblCellMar>
          <w:top w:w="0" w:type="dxa"/>
          <w:left w:w="0" w:type="dxa"/>
          <w:bottom w:w="0" w:type="dxa"/>
          <w:right w:w="0" w:type="dxa"/>
        </w:tblCellMar>
      </w:tblPr>
      <w:tblGrid>
        <w:gridCol w:w="38"/>
        <w:gridCol w:w="636"/>
        <w:gridCol w:w="9531"/>
      </w:tblGrid>
      <w:tr>
        <w:trPr/>
        <w:tc>
          <w:tcPr>
            <w:tcW w:w="38" w:type="dxa"/>
            <w:tcBorders/>
            <w:vAlign w:val="center"/>
          </w:tcPr>
          <w:p>
            <w:pPr>
              <w:pStyle w:val="TableContents"/>
              <w:bidi w:val="0"/>
              <w:spacing w:before="0" w:after="283"/>
              <w:jc w:val="left"/>
              <w:rPr/>
            </w:pPr>
            <w:r>
              <w:rPr/>
            </w:r>
          </w:p>
        </w:tc>
        <w:tc>
          <w:tcPr>
            <w:tcW w:w="636" w:type="dxa"/>
            <w:tcBorders/>
            <w:vAlign w:val="center"/>
          </w:tcPr>
          <w:p>
            <w:pPr>
              <w:pStyle w:val="TableContents"/>
              <w:bidi w:val="0"/>
              <w:spacing w:before="0" w:after="283"/>
              <w:jc w:val="left"/>
              <w:rPr>
                <w:b/>
              </w:rPr>
            </w:pPr>
            <w:r>
              <w:rPr>
                <w:b/>
              </w:rPr>
              <w:t>8.2.18.</w:t>
            </w:r>
          </w:p>
        </w:tc>
        <w:tc>
          <w:tcPr>
            <w:tcW w:w="9531" w:type="dxa"/>
            <w:tcBorders/>
            <w:vAlign w:val="center"/>
          </w:tcPr>
          <w:p>
            <w:pPr>
              <w:pStyle w:val="TableContents"/>
              <w:bidi w:val="0"/>
              <w:spacing w:before="0" w:after="0"/>
              <w:jc w:val="both"/>
              <w:rPr/>
            </w:pPr>
            <w:r>
              <w:rPr/>
              <w:t xml:space="preserve">Ionis has not received any written claim alleging and, except as set forth in </w:t>
            </w:r>
            <w:r>
              <w:rPr>
                <w:smallCaps/>
              </w:rPr>
              <w:t xml:space="preserve">Schedule </w:t>
            </w:r>
            <w:r>
              <w:rPr/>
              <w:t>8.2.18, attached to the Fourth Amendment, does not have Knowledge of any fact or circumstance indicating that the Lead [***] Compound or the Secondary [***] Compound infringes any intellectual property rights of a Third Party;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3" w:name="z78a413e25b54476f8416176de97e0a7c"/>
      <w:bookmarkStart w:id="194" w:name="z78a413e25b54476f8416176de97e0a7c"/>
      <w:bookmarkEnd w:id="194"/>
    </w:p>
    <w:tbl>
      <w:tblPr>
        <w:tblW w:w="10205" w:type="dxa"/>
        <w:jc w:val="left"/>
        <w:tblInd w:w="0" w:type="dxa"/>
        <w:tblLayout w:type="fixed"/>
        <w:tblCellMar>
          <w:top w:w="0" w:type="dxa"/>
          <w:left w:w="0" w:type="dxa"/>
          <w:bottom w:w="0" w:type="dxa"/>
          <w:right w:w="0" w:type="dxa"/>
        </w:tblCellMar>
      </w:tblPr>
      <w:tblGrid>
        <w:gridCol w:w="38"/>
        <w:gridCol w:w="635"/>
        <w:gridCol w:w="9532"/>
      </w:tblGrid>
      <w:tr>
        <w:trPr/>
        <w:tc>
          <w:tcPr>
            <w:tcW w:w="38" w:type="dxa"/>
            <w:tcBorders/>
            <w:vAlign w:val="center"/>
          </w:tcPr>
          <w:p>
            <w:pPr>
              <w:pStyle w:val="TableContents"/>
              <w:bidi w:val="0"/>
              <w:spacing w:before="0" w:after="283"/>
              <w:jc w:val="left"/>
              <w:rPr/>
            </w:pPr>
            <w:r>
              <w:rPr/>
            </w:r>
          </w:p>
        </w:tc>
        <w:tc>
          <w:tcPr>
            <w:tcW w:w="635" w:type="dxa"/>
            <w:tcBorders/>
            <w:vAlign w:val="center"/>
          </w:tcPr>
          <w:p>
            <w:pPr>
              <w:pStyle w:val="TableContents"/>
              <w:bidi w:val="0"/>
              <w:spacing w:before="0" w:after="283"/>
              <w:jc w:val="left"/>
              <w:rPr>
                <w:b/>
              </w:rPr>
            </w:pPr>
            <w:r>
              <w:rPr>
                <w:b/>
              </w:rPr>
              <w:t>8.2.19.</w:t>
            </w:r>
          </w:p>
        </w:tc>
        <w:tc>
          <w:tcPr>
            <w:tcW w:w="9532" w:type="dxa"/>
            <w:tcBorders/>
            <w:vAlign w:val="center"/>
          </w:tcPr>
          <w:p>
            <w:pPr>
              <w:pStyle w:val="TableContents"/>
              <w:bidi w:val="0"/>
              <w:spacing w:before="0" w:after="0"/>
              <w:jc w:val="both"/>
              <w:rPr/>
            </w:pPr>
            <w:r>
              <w:rPr/>
              <w:t>to Ionis’ Knowledge, in respect of the pending United States patent applications included in the Licensed Patents with respect to the Lead [***] Compound or the Secondary [***] Compound, Ionis has submitted all material prior art of which it is aware in accordance with the requirements of the United States Patent and Trademark Office;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5" w:name="zad6927195cd74387b2e88dfc52eb7ee7"/>
      <w:bookmarkStart w:id="196" w:name="zad6927195cd74387b2e88dfc52eb7ee7"/>
      <w:bookmarkEnd w:id="196"/>
    </w:p>
    <w:tbl>
      <w:tblPr>
        <w:tblW w:w="10205" w:type="dxa"/>
        <w:jc w:val="left"/>
        <w:tblInd w:w="0" w:type="dxa"/>
        <w:tblLayout w:type="fixed"/>
        <w:tblCellMar>
          <w:top w:w="0" w:type="dxa"/>
          <w:left w:w="0" w:type="dxa"/>
          <w:bottom w:w="0" w:type="dxa"/>
          <w:right w:w="0" w:type="dxa"/>
        </w:tblCellMar>
      </w:tblPr>
      <w:tblGrid>
        <w:gridCol w:w="38"/>
        <w:gridCol w:w="628"/>
        <w:gridCol w:w="9539"/>
      </w:tblGrid>
      <w:tr>
        <w:trPr/>
        <w:tc>
          <w:tcPr>
            <w:tcW w:w="38" w:type="dxa"/>
            <w:tcBorders/>
            <w:vAlign w:val="center"/>
          </w:tcPr>
          <w:p>
            <w:pPr>
              <w:pStyle w:val="TableContents"/>
              <w:bidi w:val="0"/>
              <w:spacing w:before="0" w:after="283"/>
              <w:jc w:val="left"/>
              <w:rPr/>
            </w:pPr>
            <w:r>
              <w:rPr/>
            </w:r>
          </w:p>
        </w:tc>
        <w:tc>
          <w:tcPr>
            <w:tcW w:w="628" w:type="dxa"/>
            <w:tcBorders/>
            <w:vAlign w:val="center"/>
          </w:tcPr>
          <w:p>
            <w:pPr>
              <w:pStyle w:val="TableContents"/>
              <w:bidi w:val="0"/>
              <w:spacing w:before="0" w:after="283"/>
              <w:jc w:val="left"/>
              <w:rPr>
                <w:b/>
              </w:rPr>
            </w:pPr>
            <w:r>
              <w:rPr>
                <w:b/>
              </w:rPr>
              <w:t>8.2.20.</w:t>
            </w:r>
          </w:p>
        </w:tc>
        <w:tc>
          <w:tcPr>
            <w:tcW w:w="9539" w:type="dxa"/>
            <w:tcBorders/>
            <w:vAlign w:val="center"/>
          </w:tcPr>
          <w:p>
            <w:pPr>
              <w:pStyle w:val="TableContents"/>
              <w:bidi w:val="0"/>
              <w:spacing w:before="0" w:after="0"/>
              <w:jc w:val="both"/>
              <w:rPr/>
            </w:pPr>
            <w:r>
              <w:rPr/>
              <w:t xml:space="preserve">to Ionis’ Knowledge, (i) neither Ionis nor its Affiliates owns or Controls any Patent Rights or Know How covering formulation or delivery technology as of the Fourth Amendment Effective Date and (ii) there are no additional licenses (beyond those granted to AstraZeneca under </w:t>
            </w:r>
            <w:r>
              <w:rPr>
                <w:u w:val="single"/>
              </w:rPr>
              <w:t>Section 4.1.1</w:t>
            </w:r>
            <w:r>
              <w:rPr/>
              <w:t>) under any intellectual property owned or Controlled by Ionis or its Affiliates as of the Fourth Amendment Effective Date, in each case (i) and (ii) that would be necessary or useful in order for AstraZeneca to further Develop, Manufacture or Commercialize a Product comprising the Lead [***] Compound or the Secondary [***] Compound;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197" w:name="z117d7df3e90d4daf990d79aee1b23b8f"/>
      <w:bookmarkStart w:id="198" w:name="z117d7df3e90d4daf990d79aee1b23b8f"/>
      <w:bookmarkEnd w:id="198"/>
    </w:p>
    <w:tbl>
      <w:tblPr>
        <w:tblW w:w="10205" w:type="dxa"/>
        <w:jc w:val="left"/>
        <w:tblInd w:w="0" w:type="dxa"/>
        <w:tblLayout w:type="fixed"/>
        <w:tblCellMar>
          <w:top w:w="0" w:type="dxa"/>
          <w:left w:w="0" w:type="dxa"/>
          <w:bottom w:w="0" w:type="dxa"/>
          <w:right w:w="0" w:type="dxa"/>
        </w:tblCellMar>
      </w:tblPr>
      <w:tblGrid>
        <w:gridCol w:w="38"/>
        <w:gridCol w:w="628"/>
        <w:gridCol w:w="9539"/>
      </w:tblGrid>
      <w:tr>
        <w:trPr/>
        <w:tc>
          <w:tcPr>
            <w:tcW w:w="38" w:type="dxa"/>
            <w:tcBorders/>
            <w:vAlign w:val="center"/>
          </w:tcPr>
          <w:p>
            <w:pPr>
              <w:pStyle w:val="TableContents"/>
              <w:bidi w:val="0"/>
              <w:spacing w:before="0" w:after="283"/>
              <w:jc w:val="left"/>
              <w:rPr/>
            </w:pPr>
            <w:r>
              <w:rPr/>
            </w:r>
          </w:p>
        </w:tc>
        <w:tc>
          <w:tcPr>
            <w:tcW w:w="628" w:type="dxa"/>
            <w:tcBorders/>
            <w:vAlign w:val="center"/>
          </w:tcPr>
          <w:p>
            <w:pPr>
              <w:pStyle w:val="TableContents"/>
              <w:bidi w:val="0"/>
              <w:spacing w:before="0" w:after="283"/>
              <w:jc w:val="left"/>
              <w:rPr>
                <w:b/>
              </w:rPr>
            </w:pPr>
            <w:r>
              <w:rPr>
                <w:b/>
              </w:rPr>
              <w:t>8.2.21.</w:t>
            </w:r>
          </w:p>
        </w:tc>
        <w:tc>
          <w:tcPr>
            <w:tcW w:w="9539" w:type="dxa"/>
            <w:tcBorders/>
            <w:vAlign w:val="center"/>
          </w:tcPr>
          <w:p>
            <w:pPr>
              <w:pStyle w:val="TableContents"/>
              <w:bidi w:val="0"/>
              <w:spacing w:before="0" w:after="0"/>
              <w:jc w:val="both"/>
              <w:rPr>
                <w:sz w:val="24"/>
              </w:rPr>
            </w:pPr>
            <w:r>
              <w:rPr>
                <w:smallCaps/>
                <w:sz w:val="20"/>
                <w:u w:val="single"/>
              </w:rPr>
              <w:t>Appendix</w:t>
            </w:r>
            <w:r>
              <w:rPr>
                <w:sz w:val="24"/>
                <w:u w:val="single"/>
              </w:rPr>
              <w:t xml:space="preserve"> </w:t>
            </w:r>
            <w:r>
              <w:rPr>
                <w:sz w:val="20"/>
                <w:u w:val="single"/>
              </w:rPr>
              <w:t>7</w:t>
            </w:r>
            <w:r>
              <w:rPr>
                <w:sz w:val="20"/>
              </w:rPr>
              <w:t xml:space="preserve"> (Prior Agreements) includes a complete and accurate list of all agreements between Ionis and Third Parties relevant to [***] Compounds that create material Third Party Obligations that affect the rights granted by Ionis to AstraZeneca with respect to [***] Compounds.  Such Prior Agreements have not been materially amended or extended since first being placed in the Ionis data room to which AstraZeneca was given access during the negotiation of the Fourth Amendment and subject to redactions represent a true and complete and accurate copy thereof, and any such redactions are of information not necessary to disclose to understand the implications of such Prior Agreements to this Agreement;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9" w:name="z3e2279630c274a13a3454636b52d77f1"/>
      <w:bookmarkStart w:id="200" w:name="z3e2279630c274a13a3454636b52d77f1"/>
      <w:bookmarkEnd w:id="200"/>
    </w:p>
    <w:tbl>
      <w:tblPr>
        <w:tblW w:w="10205" w:type="dxa"/>
        <w:jc w:val="left"/>
        <w:tblInd w:w="0" w:type="dxa"/>
        <w:tblLayout w:type="fixed"/>
        <w:tblCellMar>
          <w:top w:w="0" w:type="dxa"/>
          <w:left w:w="0" w:type="dxa"/>
          <w:bottom w:w="0" w:type="dxa"/>
          <w:right w:w="0" w:type="dxa"/>
        </w:tblCellMar>
      </w:tblPr>
      <w:tblGrid>
        <w:gridCol w:w="38"/>
        <w:gridCol w:w="632"/>
        <w:gridCol w:w="9535"/>
      </w:tblGrid>
      <w:tr>
        <w:trPr/>
        <w:tc>
          <w:tcPr>
            <w:tcW w:w="38" w:type="dxa"/>
            <w:tcBorders/>
            <w:vAlign w:val="center"/>
          </w:tcPr>
          <w:p>
            <w:pPr>
              <w:pStyle w:val="TableContents"/>
              <w:bidi w:val="0"/>
              <w:spacing w:before="0" w:after="283"/>
              <w:jc w:val="left"/>
              <w:rPr/>
            </w:pPr>
            <w:r>
              <w:rPr/>
            </w:r>
          </w:p>
        </w:tc>
        <w:tc>
          <w:tcPr>
            <w:tcW w:w="632" w:type="dxa"/>
            <w:tcBorders/>
            <w:vAlign w:val="center"/>
          </w:tcPr>
          <w:p>
            <w:pPr>
              <w:pStyle w:val="TableContents"/>
              <w:bidi w:val="0"/>
              <w:spacing w:before="0" w:after="283"/>
              <w:jc w:val="left"/>
              <w:rPr>
                <w:b/>
              </w:rPr>
            </w:pPr>
            <w:r>
              <w:rPr>
                <w:b/>
              </w:rPr>
              <w:t>8.2.22.</w:t>
            </w:r>
          </w:p>
        </w:tc>
        <w:tc>
          <w:tcPr>
            <w:tcW w:w="9535" w:type="dxa"/>
            <w:tcBorders/>
            <w:vAlign w:val="center"/>
          </w:tcPr>
          <w:p>
            <w:pPr>
              <w:pStyle w:val="TableContents"/>
              <w:bidi w:val="0"/>
              <w:spacing w:before="0" w:after="0"/>
              <w:jc w:val="both"/>
              <w:rPr/>
            </w:pPr>
            <w:r>
              <w:rPr/>
              <w:t>Ionis has not conducted any clinical studies with any [***] Product and has conducted, and has required its contractors and consultants (if any) to conduct, any and all preclinical studies related to the [***] Products as required by Applicable Law, in each case as applicable when such activities were conducted and under the laws and regulations of the country and the state and local government wherein such activities were conducted.”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1" w:name="z1bfc91ec51d440adaba459c477186db2"/>
      <w:bookmarkStart w:id="202" w:name="z1bfc91ec51d440adaba459c477186db2"/>
      <w:bookmarkEnd w:id="202"/>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w.</w:t>
            </w:r>
          </w:p>
        </w:tc>
        <w:tc>
          <w:tcPr>
            <w:tcW w:w="9907" w:type="dxa"/>
            <w:tcBorders/>
            <w:vAlign w:val="center"/>
          </w:tcPr>
          <w:p>
            <w:pPr>
              <w:pStyle w:val="TableContents"/>
              <w:bidi w:val="0"/>
              <w:spacing w:before="0" w:after="0"/>
              <w:jc w:val="both"/>
              <w:rPr>
                <w:sz w:val="24"/>
              </w:rPr>
            </w:pPr>
            <w:r>
              <w:rPr>
                <w:b/>
                <w:sz w:val="20"/>
                <w:u w:val="single"/>
              </w:rPr>
              <w:t>Section 10.2.1(a)</w:t>
            </w:r>
            <w:r>
              <w:rPr>
                <w:sz w:val="20"/>
              </w:rPr>
              <w:t xml:space="preserve">.  </w:t>
            </w:r>
            <w:r>
              <w:rPr>
                <w:sz w:val="20"/>
                <w:u w:val="single"/>
              </w:rPr>
              <w:t>Section 10.2.1(a)</w:t>
            </w:r>
            <w:r>
              <w:rPr>
                <w:sz w:val="20"/>
              </w:rPr>
              <w:t xml:space="preserve"> (Termination for Convenience or with respect to [***])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3" w:name="zb12440d55d82415995aa3f894c1d8ee3"/>
      <w:bookmarkStart w:id="204" w:name="zb12440d55d82415995aa3f894c1d8ee3"/>
      <w:bookmarkEnd w:id="204"/>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pPr>
            <w:r>
              <w:rPr/>
            </w:r>
          </w:p>
        </w:tc>
        <w:tc>
          <w:tcPr>
            <w:tcW w:w="266" w:type="dxa"/>
            <w:tcBorders/>
            <w:vAlign w:val="center"/>
          </w:tcPr>
          <w:p>
            <w:pPr>
              <w:pStyle w:val="TableContents"/>
              <w:bidi w:val="0"/>
              <w:spacing w:before="0" w:after="283"/>
              <w:jc w:val="left"/>
              <w:rPr/>
            </w:pPr>
            <w:r>
              <w:rPr/>
              <w:t>“</w:t>
            </w:r>
            <w:r>
              <w:rPr>
                <w:b/>
              </w:rPr>
              <w:t>(a)</w:t>
            </w:r>
          </w:p>
        </w:tc>
        <w:tc>
          <w:tcPr>
            <w:tcW w:w="9901" w:type="dxa"/>
            <w:tcBorders/>
            <w:vAlign w:val="center"/>
          </w:tcPr>
          <w:p>
            <w:pPr>
              <w:pStyle w:val="TableContents"/>
              <w:bidi w:val="0"/>
              <w:spacing w:before="0" w:after="0"/>
              <w:jc w:val="both"/>
              <w:rPr>
                <w:sz w:val="24"/>
              </w:rPr>
            </w:pPr>
            <w:r>
              <w:rPr>
                <w:b/>
                <w:sz w:val="20"/>
                <w:u w:val="single"/>
              </w:rPr>
              <w:t>Termination for Convenience</w:t>
            </w:r>
            <w:r>
              <w:rPr>
                <w:b/>
                <w:sz w:val="20"/>
              </w:rPr>
              <w:t>.</w:t>
            </w:r>
            <w:r>
              <w:rPr>
                <w:sz w:val="24"/>
              </w:rPr>
              <w:t xml:space="preserve">  </w:t>
            </w:r>
            <w:r>
              <w:rPr>
                <w:sz w:val="20"/>
              </w:rPr>
              <w:t xml:space="preserve">At any time following payment by AstraZeneca of all upfront fees under </w:t>
            </w:r>
            <w:r>
              <w:rPr>
                <w:sz w:val="20"/>
                <w:u w:val="single"/>
              </w:rPr>
              <w:t>Section 6.1</w:t>
            </w:r>
            <w:r>
              <w:rPr>
                <w:sz w:val="20"/>
              </w:rPr>
              <w:t xml:space="preserve">, subject to </w:t>
            </w:r>
            <w:r>
              <w:rPr>
                <w:sz w:val="20"/>
                <w:u w:val="single"/>
              </w:rPr>
              <w:t>Section 10.3.1</w:t>
            </w:r>
            <w:r>
              <w:rPr>
                <w:sz w:val="20"/>
              </w:rPr>
              <w:t xml:space="preserve"> below, AstraZeneca will be entitled to terminate this Agreement in its entirety or in part on a Licensed Program-by-Licensed Program basis for convenience by providing 90 days prior written notice to Ionis of such termination.”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5" w:name="zdab341a197624223a36b29c54eae0e12"/>
      <w:bookmarkStart w:id="206" w:name="zdab341a197624223a36b29c54eae0e12"/>
      <w:bookmarkEnd w:id="206"/>
    </w:p>
    <w:tbl>
      <w:tblPr>
        <w:tblW w:w="10083" w:type="dxa"/>
        <w:jc w:val="left"/>
        <w:tblInd w:w="0" w:type="dxa"/>
        <w:tblLayout w:type="fixed"/>
        <w:tblCellMar>
          <w:top w:w="0" w:type="dxa"/>
          <w:left w:w="0" w:type="dxa"/>
          <w:bottom w:w="0" w:type="dxa"/>
          <w:right w:w="0" w:type="dxa"/>
        </w:tblCellMar>
      </w:tblPr>
      <w:tblGrid>
        <w:gridCol w:w="38"/>
        <w:gridCol w:w="200"/>
        <w:gridCol w:w="9845"/>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x.</w:t>
            </w:r>
          </w:p>
        </w:tc>
        <w:tc>
          <w:tcPr>
            <w:tcW w:w="9845" w:type="dxa"/>
            <w:tcBorders/>
            <w:vAlign w:val="center"/>
          </w:tcPr>
          <w:p>
            <w:pPr>
              <w:pStyle w:val="TableContents"/>
              <w:bidi w:val="0"/>
              <w:spacing w:before="0" w:after="0"/>
              <w:jc w:val="both"/>
              <w:rPr>
                <w:sz w:val="24"/>
              </w:rPr>
            </w:pPr>
            <w:r>
              <w:rPr>
                <w:b/>
                <w:sz w:val="20"/>
                <w:u w:val="single"/>
              </w:rPr>
              <w:t>Section 10.2.3(b)</w:t>
            </w:r>
            <w:r>
              <w:rPr>
                <w:sz w:val="20"/>
              </w:rPr>
              <w:t xml:space="preserve">.  The last sentence of </w:t>
            </w:r>
            <w:r>
              <w:rPr>
                <w:sz w:val="20"/>
                <w:u w:val="single"/>
              </w:rPr>
              <w:t>Section 10.2.3(b)</w:t>
            </w:r>
            <w:r>
              <w:rPr>
                <w:sz w:val="20"/>
              </w:rPr>
              <w:t xml:space="preserve"> is hereby deleted in its entirety and replaced with the following:</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color w:val="000000"/>
          <w:sz w:val="20"/>
        </w:rPr>
        <w:t xml:space="preserve">Following such a meeting, if AstraZeneca fails to use Commercially Reasonable Efforts as contemplated in </w:t>
      </w:r>
      <w:r>
        <w:rPr>
          <w:rFonts w:ascii="Times New Roman" w:hAnsi="Times New Roman"/>
          <w:color w:val="000000"/>
          <w:sz w:val="20"/>
          <w:u w:val="single"/>
        </w:rPr>
        <w:t>ARTICLE 1</w:t>
      </w:r>
      <w:r>
        <w:rPr>
          <w:rFonts w:ascii="Times New Roman" w:hAnsi="Times New Roman"/>
          <w:color w:val="000000"/>
          <w:sz w:val="20"/>
        </w:rPr>
        <w:t xml:space="preserve"> or </w:t>
      </w:r>
      <w:r>
        <w:rPr>
          <w:rFonts w:ascii="Times New Roman" w:hAnsi="Times New Roman"/>
          <w:color w:val="000000"/>
          <w:sz w:val="20"/>
          <w:u w:val="single"/>
        </w:rPr>
        <w:t>Section 5.1</w:t>
      </w:r>
      <w:r>
        <w:rPr>
          <w:rFonts w:ascii="Times New Roman" w:hAnsi="Times New Roman"/>
          <w:color w:val="000000"/>
          <w:sz w:val="20"/>
        </w:rPr>
        <w:t xml:space="preserve">, and such failure constitutes a material breach of this Agreement, then, subject to </w:t>
      </w:r>
      <w:r>
        <w:rPr>
          <w:rFonts w:ascii="Times New Roman" w:hAnsi="Times New Roman"/>
          <w:color w:val="000000"/>
          <w:sz w:val="20"/>
          <w:u w:val="single"/>
        </w:rPr>
        <w:t>Section 10.2.4</w:t>
      </w:r>
      <w:r>
        <w:rPr>
          <w:rFonts w:ascii="Times New Roman" w:hAnsi="Times New Roman"/>
          <w:color w:val="000000"/>
          <w:sz w:val="20"/>
        </w:rPr>
        <w:t xml:space="preserve"> below, Ionis will have the right, at its sole discretion, to terminate this Agreement in part on a Licensed Program-by-Licensed Program basis.”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8d0450c8228b45e59935a2f43efe8f73"/>
      <w:bookmarkStart w:id="208" w:name="z8d0450c8228b45e59935a2f43efe8f73"/>
      <w:bookmarkEnd w:id="208"/>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y.</w:t>
            </w:r>
          </w:p>
        </w:tc>
        <w:tc>
          <w:tcPr>
            <w:tcW w:w="9967" w:type="dxa"/>
            <w:tcBorders/>
            <w:vAlign w:val="center"/>
          </w:tcPr>
          <w:p>
            <w:pPr>
              <w:pStyle w:val="TableContents"/>
              <w:bidi w:val="0"/>
              <w:spacing w:before="0" w:after="0"/>
              <w:jc w:val="both"/>
              <w:rPr>
                <w:sz w:val="24"/>
              </w:rPr>
            </w:pPr>
            <w:r>
              <w:rPr>
                <w:b/>
                <w:sz w:val="20"/>
                <w:u w:val="single"/>
              </w:rPr>
              <w:t>Section 10.2.5</w:t>
            </w:r>
            <w:r>
              <w:rPr>
                <w:sz w:val="20"/>
              </w:rPr>
              <w:t xml:space="preserve">.  </w:t>
            </w:r>
            <w:r>
              <w:rPr>
                <w:sz w:val="20"/>
                <w:u w:val="single"/>
              </w:rPr>
              <w:t>Section 10.2.5</w:t>
            </w:r>
            <w:r>
              <w:rPr>
                <w:sz w:val="20"/>
              </w:rPr>
              <w:t xml:space="preserve"> (Termination of a Licensed Program)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9" w:name="zc02274d045df4ad29a6bf2cbf75bb1be"/>
      <w:bookmarkStart w:id="210" w:name="zc02274d045df4ad29a6bf2cbf75bb1be"/>
      <w:bookmarkEnd w:id="210"/>
    </w:p>
    <w:tbl>
      <w:tblPr>
        <w:tblW w:w="10205" w:type="dxa"/>
        <w:jc w:val="left"/>
        <w:tblInd w:w="0" w:type="dxa"/>
        <w:tblLayout w:type="fixed"/>
        <w:tblCellMar>
          <w:top w:w="0" w:type="dxa"/>
          <w:left w:w="0" w:type="dxa"/>
          <w:bottom w:w="0" w:type="dxa"/>
          <w:right w:w="0" w:type="dxa"/>
        </w:tblCellMar>
      </w:tblPr>
      <w:tblGrid>
        <w:gridCol w:w="38"/>
        <w:gridCol w:w="645"/>
        <w:gridCol w:w="9522"/>
      </w:tblGrid>
      <w:tr>
        <w:trPr/>
        <w:tc>
          <w:tcPr>
            <w:tcW w:w="38" w:type="dxa"/>
            <w:tcBorders/>
            <w:vAlign w:val="center"/>
          </w:tcPr>
          <w:p>
            <w:pPr>
              <w:pStyle w:val="TableContents"/>
              <w:bidi w:val="0"/>
              <w:spacing w:before="0" w:after="283"/>
              <w:jc w:val="left"/>
              <w:rPr/>
            </w:pPr>
            <w:r>
              <w:rPr/>
            </w:r>
          </w:p>
        </w:tc>
        <w:tc>
          <w:tcPr>
            <w:tcW w:w="645" w:type="dxa"/>
            <w:tcBorders/>
            <w:vAlign w:val="center"/>
          </w:tcPr>
          <w:p>
            <w:pPr>
              <w:pStyle w:val="TableContents"/>
              <w:bidi w:val="0"/>
              <w:spacing w:before="0" w:after="283"/>
              <w:jc w:val="left"/>
              <w:rPr/>
            </w:pPr>
            <w:r>
              <w:rPr/>
              <w:t>“</w:t>
            </w:r>
            <w:r>
              <w:rPr>
                <w:b/>
              </w:rPr>
              <w:t>10.2.5</w:t>
            </w:r>
          </w:p>
        </w:tc>
        <w:tc>
          <w:tcPr>
            <w:tcW w:w="9522" w:type="dxa"/>
            <w:tcBorders/>
            <w:vAlign w:val="center"/>
          </w:tcPr>
          <w:p>
            <w:pPr>
              <w:pStyle w:val="TableContents"/>
              <w:bidi w:val="0"/>
              <w:spacing w:before="0" w:after="0"/>
              <w:jc w:val="both"/>
              <w:rPr>
                <w:sz w:val="24"/>
              </w:rPr>
            </w:pPr>
            <w:r>
              <w:rPr>
                <w:b/>
                <w:sz w:val="20"/>
                <w:u w:val="single"/>
              </w:rPr>
              <w:t>Termination of a Licensed Program</w:t>
            </w:r>
            <w:r>
              <w:rPr>
                <w:b/>
                <w:sz w:val="20"/>
              </w:rPr>
              <w:t xml:space="preserve">.  </w:t>
            </w:r>
            <w:r>
              <w:rPr>
                <w:sz w:val="20"/>
              </w:rPr>
              <w:t xml:space="preserve">From and after the Fourth Amendment Effective Date, neither Party will be entitled to terminate a Licensed Program pursuant to </w:t>
            </w:r>
            <w:r>
              <w:rPr>
                <w:sz w:val="20"/>
                <w:u w:val="single"/>
              </w:rPr>
              <w:t>Sections 10.2.2</w:t>
            </w:r>
            <w:r>
              <w:rPr>
                <w:sz w:val="20"/>
              </w:rPr>
              <w:t xml:space="preserve"> or </w:t>
            </w:r>
            <w:r>
              <w:rPr>
                <w:sz w:val="20"/>
                <w:u w:val="single"/>
              </w:rPr>
              <w:t>10.2.3</w:t>
            </w:r>
            <w:r>
              <w:rPr>
                <w:sz w:val="20"/>
              </w:rPr>
              <w:t xml:space="preserve"> unless the material breach or failure to use Commercially Reasonable Efforts is with respect to such Licensed Program and any such breach or failure will be determined on a Licensed Program-by-Licensed Program basis.”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211" w:name="z08e835049cae44af842990b7a12cfc82"/>
      <w:bookmarkStart w:id="212" w:name="z08e835049cae44af842990b7a12cfc82"/>
      <w:bookmarkEnd w:id="212"/>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pPr>
            <w:r>
              <w:rPr/>
              <w:t>z.</w:t>
            </w:r>
          </w:p>
        </w:tc>
        <w:tc>
          <w:tcPr>
            <w:tcW w:w="9982" w:type="dxa"/>
            <w:tcBorders/>
            <w:vAlign w:val="center"/>
          </w:tcPr>
          <w:p>
            <w:pPr>
              <w:pStyle w:val="TableContents"/>
              <w:bidi w:val="0"/>
              <w:spacing w:before="0" w:after="0"/>
              <w:jc w:val="both"/>
              <w:rPr>
                <w:sz w:val="24"/>
              </w:rPr>
            </w:pPr>
            <w:r>
              <w:rPr>
                <w:b/>
                <w:sz w:val="20"/>
                <w:u w:val="single"/>
              </w:rPr>
              <w:t>Section 10.3.1</w:t>
            </w:r>
            <w:r>
              <w:rPr>
                <w:sz w:val="20"/>
              </w:rPr>
              <w:t xml:space="preserve">.  </w:t>
            </w:r>
            <w:r>
              <w:rPr>
                <w:sz w:val="20"/>
                <w:u w:val="single"/>
              </w:rPr>
              <w:t>Section 10.3.1</w:t>
            </w:r>
            <w:r>
              <w:rPr>
                <w:sz w:val="20"/>
              </w:rPr>
              <w:t xml:space="preserve"> (Consequence of Termination of this Agreement)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3" w:name="z624d1e9a8f34429c906bbe2da29a034b"/>
      <w:bookmarkStart w:id="214" w:name="z624d1e9a8f34429c906bbe2da29a034b"/>
      <w:bookmarkEnd w:id="214"/>
    </w:p>
    <w:tbl>
      <w:tblPr>
        <w:tblW w:w="10205" w:type="dxa"/>
        <w:jc w:val="left"/>
        <w:tblInd w:w="0" w:type="dxa"/>
        <w:tblLayout w:type="fixed"/>
        <w:tblCellMar>
          <w:top w:w="0" w:type="dxa"/>
          <w:left w:w="0" w:type="dxa"/>
          <w:bottom w:w="0" w:type="dxa"/>
          <w:right w:w="0" w:type="dxa"/>
        </w:tblCellMar>
      </w:tblPr>
      <w:tblGrid>
        <w:gridCol w:w="38"/>
        <w:gridCol w:w="648"/>
        <w:gridCol w:w="9519"/>
      </w:tblGrid>
      <w:tr>
        <w:trPr/>
        <w:tc>
          <w:tcPr>
            <w:tcW w:w="38" w:type="dxa"/>
            <w:tcBorders/>
            <w:vAlign w:val="center"/>
          </w:tcPr>
          <w:p>
            <w:pPr>
              <w:pStyle w:val="TableContents"/>
              <w:bidi w:val="0"/>
              <w:spacing w:before="0" w:after="283"/>
              <w:jc w:val="left"/>
              <w:rPr/>
            </w:pPr>
            <w:r>
              <w:rPr/>
            </w:r>
          </w:p>
        </w:tc>
        <w:tc>
          <w:tcPr>
            <w:tcW w:w="648" w:type="dxa"/>
            <w:tcBorders/>
            <w:vAlign w:val="center"/>
          </w:tcPr>
          <w:p>
            <w:pPr>
              <w:pStyle w:val="TableContents"/>
              <w:bidi w:val="0"/>
              <w:spacing w:before="0" w:after="283"/>
              <w:jc w:val="left"/>
              <w:rPr/>
            </w:pPr>
            <w:r>
              <w:rPr/>
              <w:t>“</w:t>
            </w:r>
            <w:r>
              <w:rPr>
                <w:b/>
              </w:rPr>
              <w:t>10.3.1.</w:t>
            </w:r>
          </w:p>
        </w:tc>
        <w:tc>
          <w:tcPr>
            <w:tcW w:w="9519" w:type="dxa"/>
            <w:tcBorders/>
            <w:vAlign w:val="center"/>
          </w:tcPr>
          <w:p>
            <w:pPr>
              <w:pStyle w:val="TableContents"/>
              <w:bidi w:val="0"/>
              <w:spacing w:before="0" w:after="0"/>
              <w:jc w:val="both"/>
              <w:rPr>
                <w:sz w:val="24"/>
              </w:rPr>
            </w:pPr>
            <w:r>
              <w:rPr>
                <w:b/>
                <w:sz w:val="20"/>
                <w:u w:val="single"/>
              </w:rPr>
              <w:t>Consequence of Termination of this Agreement</w:t>
            </w:r>
            <w:r>
              <w:rPr>
                <w:b/>
                <w:sz w:val="20"/>
              </w:rPr>
              <w:t>.</w:t>
            </w:r>
            <w:r>
              <w:rPr>
                <w:sz w:val="24"/>
              </w:rPr>
              <w:t xml:space="preserve"> </w:t>
            </w:r>
            <w:r>
              <w:rPr>
                <w:sz w:val="20"/>
              </w:rPr>
              <w:t xml:space="preserve">If this Agreement is terminated by a Party in accordance with </w:t>
            </w:r>
            <w:r>
              <w:rPr>
                <w:sz w:val="20"/>
                <w:u w:val="single"/>
              </w:rPr>
              <w:t>Section 10.2</w:t>
            </w:r>
            <w:r>
              <w:rPr>
                <w:sz w:val="20"/>
              </w:rPr>
              <w:t>, in its entirety or on a Licensed Program-by-Licensed Program basis at any time and for any reason, the following terms will apply to any such termination, but only to the extent of any such termination (</w:t>
            </w:r>
            <w:r>
              <w:rPr>
                <w:sz w:val="20"/>
                <w:u w:val="single"/>
              </w:rPr>
              <w:t>i.e.</w:t>
            </w:r>
            <w:r>
              <w:rPr>
                <w:sz w:val="20"/>
              </w:rPr>
              <w:t>, with respect to a terminated Licensed Program (the “</w:t>
            </w:r>
            <w:r>
              <w:rPr>
                <w:b/>
                <w:i/>
                <w:sz w:val="20"/>
              </w:rPr>
              <w:t>Terminated Program</w:t>
            </w:r>
            <w:r>
              <w:rPr>
                <w:sz w:val="20"/>
              </w:rPr>
              <w:t>” and its Target, the “</w:t>
            </w:r>
            <w:r>
              <w:rPr>
                <w:b/>
                <w:i/>
                <w:sz w:val="20"/>
              </w:rPr>
              <w:t>Terminated Target</w:t>
            </w:r>
            <w:r>
              <w:rPr>
                <w:sz w:val="20"/>
              </w:rPr>
              <w:t>” and the Products under such Terminated Program at the termination Date, the “</w:t>
            </w:r>
            <w:r>
              <w:rPr>
                <w:b/>
                <w:i/>
                <w:sz w:val="20"/>
              </w:rPr>
              <w:t>Discontinued Products</w:t>
            </w:r>
            <w:r>
              <w:rPr>
                <w:sz w:val="20"/>
              </w:rPr>
              <w:t>”), or in its entirety):”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60eea2d97f8c4e46b836d30b4cc07f62"/>
      <w:bookmarkStart w:id="216" w:name="z60eea2d97f8c4e46b836d30b4cc07f62"/>
      <w:bookmarkEnd w:id="216"/>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aa.</w:t>
            </w:r>
          </w:p>
        </w:tc>
        <w:tc>
          <w:tcPr>
            <w:tcW w:w="9877" w:type="dxa"/>
            <w:tcBorders/>
            <w:vAlign w:val="center"/>
          </w:tcPr>
          <w:p>
            <w:pPr>
              <w:pStyle w:val="TableContents"/>
              <w:bidi w:val="0"/>
              <w:spacing w:before="0" w:after="0"/>
              <w:jc w:val="both"/>
              <w:rPr>
                <w:sz w:val="24"/>
              </w:rPr>
            </w:pPr>
            <w:r>
              <w:rPr>
                <w:b/>
                <w:sz w:val="20"/>
                <w:u w:val="single"/>
              </w:rPr>
              <w:t>Section 10.3.1(f)</w:t>
            </w:r>
            <w:r>
              <w:rPr>
                <w:sz w:val="20"/>
              </w:rPr>
              <w:t xml:space="preserve">.  </w:t>
            </w:r>
            <w:r>
              <w:rPr>
                <w:sz w:val="20"/>
                <w:u w:val="single"/>
              </w:rPr>
              <w:t>Section 10.3.1(f)</w:t>
            </w:r>
            <w:r>
              <w:rPr>
                <w:sz w:val="20"/>
              </w:rPr>
              <w:t xml:space="preserve"> (Return of Information and Materials)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7" w:name="z01219ebaecd34eca96480eaa00abb427"/>
      <w:bookmarkStart w:id="218" w:name="z01219ebaecd34eca96480eaa00abb427"/>
      <w:bookmarkEnd w:id="218"/>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t>“</w:t>
            </w:r>
            <w:r>
              <w:rPr>
                <w:b/>
              </w:rPr>
              <w:t>(f)</w:t>
            </w:r>
          </w:p>
        </w:tc>
        <w:tc>
          <w:tcPr>
            <w:tcW w:w="9977" w:type="dxa"/>
            <w:tcBorders/>
            <w:vAlign w:val="center"/>
          </w:tcPr>
          <w:p>
            <w:pPr>
              <w:pStyle w:val="TableContents"/>
              <w:bidi w:val="0"/>
              <w:spacing w:before="0" w:after="0"/>
              <w:jc w:val="both"/>
              <w:rPr>
                <w:sz w:val="24"/>
              </w:rPr>
            </w:pPr>
            <w:r>
              <w:rPr>
                <w:b/>
                <w:sz w:val="20"/>
                <w:u w:val="single"/>
              </w:rPr>
              <w:t>Return of Information and Materials</w:t>
            </w:r>
            <w:r>
              <w:rPr>
                <w:b/>
                <w:sz w:val="20"/>
              </w:rPr>
              <w:t>.</w:t>
            </w:r>
            <w:r>
              <w:rPr>
                <w:sz w:val="24"/>
              </w:rPr>
              <w:t xml:space="preserve">  </w:t>
            </w:r>
            <w:r>
              <w:rPr>
                <w:sz w:val="20"/>
              </w:rPr>
              <w:t xml:space="preserve">The Parties will [***] any and all data, files, records and other materials containing or comprising the other Party’s Confidential Information to which the Party then in possession of such Confidential Information does not retain rights under the surviving provisions of this Agreement.  The Parties agree that each Party will be permitted to retain one copy of any such data, files, records, and other materials for archival and legal compliance purposes, as well as any additional copies of, or any computer records or files containing, the other Party’s Confidential Information that have been created solely by automatic archiving and back-up procedures (to the extent created and retained in a manner consistent with the retaining Party’s standard archiving and back-up procedures, but not for any other use or purpose).  All Confidential Information will continue to be subject to the terms of this Agreement for the period set forth in </w:t>
            </w:r>
            <w:r>
              <w:rPr>
                <w:sz w:val="20"/>
                <w:u w:val="single"/>
              </w:rPr>
              <w:t>Section 11.1</w:t>
            </w:r>
            <w:r>
              <w:rPr>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9" w:name="z1de773f73fe64ea2a36f6f26ea77f44a"/>
      <w:bookmarkStart w:id="220" w:name="z1de773f73fe64ea2a36f6f26ea77f44a"/>
      <w:bookmarkEnd w:id="22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bb.</w:t>
            </w:r>
          </w:p>
        </w:tc>
        <w:tc>
          <w:tcPr>
            <w:tcW w:w="9847" w:type="dxa"/>
            <w:tcBorders/>
            <w:vAlign w:val="center"/>
          </w:tcPr>
          <w:p>
            <w:pPr>
              <w:pStyle w:val="TableContents"/>
              <w:bidi w:val="0"/>
              <w:spacing w:before="0" w:after="0"/>
              <w:jc w:val="both"/>
              <w:rPr>
                <w:sz w:val="24"/>
              </w:rPr>
            </w:pPr>
            <w:r>
              <w:rPr>
                <w:b/>
                <w:sz w:val="20"/>
                <w:u w:val="single"/>
              </w:rPr>
              <w:t>Section 10.3.2</w:t>
            </w:r>
            <w:r>
              <w:rPr>
                <w:sz w:val="20"/>
              </w:rPr>
              <w:t xml:space="preserve">.  </w:t>
            </w:r>
            <w:r>
              <w:rPr>
                <w:sz w:val="20"/>
                <w:u w:val="single"/>
              </w:rPr>
              <w:t>Section 10.3.2</w:t>
            </w:r>
            <w:r>
              <w:rPr>
                <w:sz w:val="20"/>
              </w:rPr>
              <w:t xml:space="preserve"> (Ionis: Special Consequences of Certain Terminations) is hereby amended in accordance with the below:</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1" w:name="z3df3217a76264a0cb377194cc2f7dda1"/>
      <w:bookmarkStart w:id="222" w:name="z3df3217a76264a0cb377194cc2f7dda1"/>
      <w:bookmarkEnd w:id="222"/>
    </w:p>
    <w:tbl>
      <w:tblPr>
        <w:tblW w:w="7053" w:type="dxa"/>
        <w:jc w:val="left"/>
        <w:tblInd w:w="0" w:type="dxa"/>
        <w:tblLayout w:type="fixed"/>
        <w:tblCellMar>
          <w:top w:w="0" w:type="dxa"/>
          <w:left w:w="0" w:type="dxa"/>
          <w:bottom w:w="0" w:type="dxa"/>
          <w:right w:w="0" w:type="dxa"/>
        </w:tblCellMar>
      </w:tblPr>
      <w:tblGrid>
        <w:gridCol w:w="38"/>
        <w:gridCol w:w="140"/>
        <w:gridCol w:w="687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i.</w:t>
            </w:r>
          </w:p>
        </w:tc>
        <w:tc>
          <w:tcPr>
            <w:tcW w:w="6875" w:type="dxa"/>
            <w:tcBorders/>
            <w:vAlign w:val="center"/>
          </w:tcPr>
          <w:p>
            <w:pPr>
              <w:pStyle w:val="TableContents"/>
              <w:bidi w:val="0"/>
              <w:spacing w:before="0" w:after="0"/>
              <w:jc w:val="both"/>
              <w:rPr>
                <w:sz w:val="20"/>
              </w:rPr>
            </w:pPr>
            <w:r>
              <w:rPr>
                <w:sz w:val="20"/>
                <w:u w:val="single"/>
              </w:rPr>
              <w:t>Section 10.3.2(a)(1)</w:t>
            </w:r>
            <w:r>
              <w:rPr>
                <w:sz w:val="20"/>
              </w:rPr>
              <w:t xml:space="preserve"> is hereby deleted in its entirety and replaced with the following:</w:t>
            </w:r>
          </w:p>
        </w:tc>
      </w:tr>
    </w:tbl>
    <w:p>
      <w:pPr>
        <w:pStyle w:val="TextBody"/>
        <w:bidi w:val="0"/>
        <w:spacing w:before="0" w:after="0"/>
        <w:jc w:val="left"/>
        <w:rPr/>
      </w:pPr>
      <w:r>
        <w:rPr/>
      </w:r>
    </w:p>
    <w:p>
      <w:pPr>
        <w:pStyle w:val="TextBody"/>
        <w:bidi w:val="0"/>
        <w:spacing w:before="0" w:after="0"/>
        <w:ind w:left="720" w:right="0" w:hanging="0"/>
        <w:jc w:val="both"/>
        <w:rPr>
          <w:color w:val="000000"/>
        </w:rPr>
      </w:pPr>
      <w:r>
        <w:rPr>
          <w:color w:val="000000"/>
        </w:rPr>
        <w:t>“</w:t>
      </w:r>
      <w:r>
        <w:rPr>
          <w:rFonts w:ascii="Times New Roman" w:hAnsi="Times New Roman"/>
          <w:b/>
          <w:color w:val="000000"/>
          <w:sz w:val="20"/>
        </w:rPr>
        <w:t>(1)</w:t>
      </w:r>
      <w:r>
        <w:rPr>
          <w:rFonts w:ascii="Times New Roman" w:hAnsi="Times New Roman"/>
          <w:color w:val="000000"/>
          <w:sz w:val="20"/>
        </w:rPr>
        <w:t xml:space="preserve"> a sublicensable, worldwide, exclusive license or sublicense, as the case may be, under all AstraZeneca Technology (excluding AstraZeneca Background Intellectual Property) Controlled by AstraZeneca as of the date of such reversion that Covers the Discontinued Product as Developed or Commercialized by AstraZeneca or its Affiliates as at such date; </w:t>
      </w:r>
      <w:r>
        <w:rPr>
          <w:rFonts w:ascii="Times New Roman" w:hAnsi="Times New Roman"/>
          <w:i/>
          <w:color w:val="000000"/>
          <w:sz w:val="20"/>
        </w:rPr>
        <w:t>provided that</w:t>
      </w:r>
      <w:r>
        <w:rPr>
          <w:rFonts w:ascii="Times New Roman" w:hAnsi="Times New Roman"/>
          <w:color w:val="000000"/>
          <w:sz w:val="20"/>
        </w:rPr>
        <w:t xml:space="preserve"> (i) [***] and (ii) upon Ionis’ written request, AstraZeneca will [***].  Ionis will confirm to AstraZeneca in any notification under </w:t>
      </w:r>
      <w:r>
        <w:rPr>
          <w:rFonts w:ascii="Times New Roman" w:hAnsi="Times New Roman"/>
          <w:color w:val="000000"/>
          <w:sz w:val="20"/>
          <w:u w:val="single"/>
        </w:rPr>
        <w:t>Section 10.3.2(a)(1)(i)</w:t>
      </w:r>
      <w:r>
        <w:rPr>
          <w:rFonts w:ascii="Times New Roman" w:hAnsi="Times New Roman"/>
          <w:color w:val="000000"/>
          <w:sz w:val="20"/>
        </w:rPr>
        <w:t xml:space="preserve"> that, on or prior to [***].”;</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4e2a2871ced44435b5fdbe5dd8faec92"/>
      <w:bookmarkStart w:id="224" w:name="z4e2a2871ced44435b5fdbe5dd8faec92"/>
      <w:bookmarkEnd w:id="224"/>
    </w:p>
    <w:tbl>
      <w:tblPr>
        <w:tblW w:w="6888" w:type="dxa"/>
        <w:jc w:val="left"/>
        <w:tblInd w:w="0" w:type="dxa"/>
        <w:tblLayout w:type="fixed"/>
        <w:tblCellMar>
          <w:top w:w="0" w:type="dxa"/>
          <w:left w:w="0" w:type="dxa"/>
          <w:bottom w:w="0" w:type="dxa"/>
          <w:right w:w="0" w:type="dxa"/>
        </w:tblCellMar>
      </w:tblPr>
      <w:tblGrid>
        <w:gridCol w:w="38"/>
        <w:gridCol w:w="200"/>
        <w:gridCol w:w="665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6650" w:type="dxa"/>
            <w:tcBorders/>
            <w:vAlign w:val="center"/>
          </w:tcPr>
          <w:p>
            <w:pPr>
              <w:pStyle w:val="TableContents"/>
              <w:bidi w:val="0"/>
              <w:spacing w:before="0" w:after="0"/>
              <w:jc w:val="both"/>
              <w:rPr>
                <w:sz w:val="20"/>
              </w:rPr>
            </w:pPr>
            <w:r>
              <w:rPr>
                <w:sz w:val="20"/>
                <w:u w:val="single"/>
              </w:rPr>
              <w:t>Section 10.3.2(c)</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75bf2786794f41c88d2d83a1ec099785"/>
      <w:bookmarkStart w:id="226" w:name="z75bf2786794f41c88d2d83a1ec099785"/>
      <w:bookmarkEnd w:id="226"/>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pPr>
            <w:r>
              <w:rPr/>
              <w:t>“</w:t>
            </w:r>
            <w:r>
              <w:rPr>
                <w:b/>
              </w:rPr>
              <w:t>(c)</w:t>
            </w:r>
          </w:p>
        </w:tc>
        <w:tc>
          <w:tcPr>
            <w:tcW w:w="9936" w:type="dxa"/>
            <w:tcBorders/>
            <w:vAlign w:val="center"/>
          </w:tcPr>
          <w:p>
            <w:pPr>
              <w:pStyle w:val="TableContents"/>
              <w:bidi w:val="0"/>
              <w:spacing w:before="0" w:after="0"/>
              <w:jc w:val="both"/>
              <w:rPr/>
            </w:pPr>
            <w:r>
              <w:rPr/>
              <w:t xml:space="preserve">In accordance with [***] pursuant to </w:t>
            </w:r>
            <w:r>
              <w:rPr>
                <w:u w:val="single"/>
              </w:rPr>
              <w:t>Section 10.3.1(f)</w:t>
            </w:r>
            <w:r>
              <w:rPr/>
              <w:t>, AstraZeneca will transfer to Ionis for use with respect to the Development and Commercialization of the Discontinued Product, any Know-How, data, results, regulatory information, qualitative market research, health economic study information, material communications with payors, filings, and files in the possession of AstraZeneca, or copies thereof, as of the date of such termination or reversion that relate solely to such Discontinued Product;”;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227" w:name="z58f7639e48fd46e3938ac6d3231869cc"/>
      <w:bookmarkStart w:id="228" w:name="z58f7639e48fd46e3938ac6d3231869cc"/>
      <w:bookmarkEnd w:id="228"/>
    </w:p>
    <w:tbl>
      <w:tblPr>
        <w:tblW w:w="6963" w:type="dxa"/>
        <w:jc w:val="left"/>
        <w:tblInd w:w="0" w:type="dxa"/>
        <w:tblLayout w:type="fixed"/>
        <w:tblCellMar>
          <w:top w:w="0" w:type="dxa"/>
          <w:left w:w="0" w:type="dxa"/>
          <w:bottom w:w="0" w:type="dxa"/>
          <w:right w:w="0" w:type="dxa"/>
        </w:tblCellMar>
      </w:tblPr>
      <w:tblGrid>
        <w:gridCol w:w="38"/>
        <w:gridCol w:w="260"/>
        <w:gridCol w:w="666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iii.</w:t>
            </w:r>
          </w:p>
        </w:tc>
        <w:tc>
          <w:tcPr>
            <w:tcW w:w="6665" w:type="dxa"/>
            <w:tcBorders/>
            <w:vAlign w:val="center"/>
          </w:tcPr>
          <w:p>
            <w:pPr>
              <w:pStyle w:val="TableContents"/>
              <w:bidi w:val="0"/>
              <w:spacing w:before="0" w:after="0"/>
              <w:jc w:val="both"/>
              <w:rPr>
                <w:sz w:val="20"/>
              </w:rPr>
            </w:pPr>
            <w:r>
              <w:rPr>
                <w:sz w:val="20"/>
                <w:u w:val="single"/>
              </w:rPr>
              <w:t>Section 10.3.2(g)</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9" w:name="z53a7201fd85b4143b2731b03baeba647"/>
      <w:bookmarkStart w:id="230" w:name="z53a7201fd85b4143b2731b03baeba647"/>
      <w:bookmarkEnd w:id="230"/>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pPr>
            <w:r>
              <w:rPr/>
            </w:r>
          </w:p>
        </w:tc>
        <w:tc>
          <w:tcPr>
            <w:tcW w:w="248" w:type="dxa"/>
            <w:tcBorders/>
            <w:vAlign w:val="center"/>
          </w:tcPr>
          <w:p>
            <w:pPr>
              <w:pStyle w:val="TableContents"/>
              <w:bidi w:val="0"/>
              <w:spacing w:before="0" w:after="283"/>
              <w:jc w:val="left"/>
              <w:rPr/>
            </w:pPr>
            <w:r>
              <w:rPr/>
              <w:t>“</w:t>
            </w:r>
            <w:r>
              <w:rPr>
                <w:b/>
              </w:rPr>
              <w:t>(g)</w:t>
            </w:r>
          </w:p>
        </w:tc>
        <w:tc>
          <w:tcPr>
            <w:tcW w:w="9919" w:type="dxa"/>
            <w:tcBorders/>
            <w:vAlign w:val="center"/>
          </w:tcPr>
          <w:p>
            <w:pPr>
              <w:pStyle w:val="TableContents"/>
              <w:bidi w:val="0"/>
              <w:spacing w:before="0" w:after="0"/>
              <w:jc w:val="both"/>
              <w:rPr/>
            </w:pPr>
            <w:r>
              <w:rPr/>
              <w:t xml:space="preserve">If Ionis or any of its Affiliates or Sublicensees Commercializes a Discontinued Product for which AstraZeneca has paid Ionis the license fee under </w:t>
            </w:r>
            <w:r>
              <w:rPr>
                <w:u w:val="single"/>
              </w:rPr>
              <w:t>Section 6.2</w:t>
            </w:r>
            <w:r>
              <w:rPr/>
              <w:t xml:space="preserve"> (or the up-front fee for [***] Products under </w:t>
            </w:r>
            <w:r>
              <w:rPr>
                <w:u w:val="single"/>
              </w:rPr>
              <w:t>Section 6.1</w:t>
            </w:r>
            <w:r>
              <w:rPr/>
              <w:t>) for a Product, then in each such case, following the First Commercial Sale of such Discontinued Product by Ionis or its Affiliates or Sublicensees, Ionis will pay AstraZeneca a royalty of [***]% of Annual worldwide Net Sales of such Discontinued Product until [***];”;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1" w:name="z9ddcbfff603b477c813f70641932ffa6"/>
      <w:bookmarkStart w:id="232" w:name="z9ddcbfff603b477c813f70641932ffa6"/>
      <w:bookmarkEnd w:id="232"/>
    </w:p>
    <w:tbl>
      <w:tblPr>
        <w:tblW w:w="6918" w:type="dxa"/>
        <w:jc w:val="left"/>
        <w:tblInd w:w="0" w:type="dxa"/>
        <w:tblLayout w:type="fixed"/>
        <w:tblCellMar>
          <w:top w:w="0" w:type="dxa"/>
          <w:left w:w="0" w:type="dxa"/>
          <w:bottom w:w="0" w:type="dxa"/>
          <w:right w:w="0" w:type="dxa"/>
        </w:tblCellMar>
      </w:tblPr>
      <w:tblGrid>
        <w:gridCol w:w="38"/>
        <w:gridCol w:w="260"/>
        <w:gridCol w:w="662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pPr>
            <w:r>
              <w:rPr/>
              <w:t>iv.</w:t>
            </w:r>
          </w:p>
        </w:tc>
        <w:tc>
          <w:tcPr>
            <w:tcW w:w="6620" w:type="dxa"/>
            <w:tcBorders/>
            <w:vAlign w:val="center"/>
          </w:tcPr>
          <w:p>
            <w:pPr>
              <w:pStyle w:val="TableContents"/>
              <w:bidi w:val="0"/>
              <w:spacing w:before="0" w:after="0"/>
              <w:jc w:val="both"/>
              <w:rPr>
                <w:sz w:val="20"/>
              </w:rPr>
            </w:pPr>
            <w:r>
              <w:rPr>
                <w:sz w:val="20"/>
                <w:u w:val="single"/>
              </w:rPr>
              <w:t>Section 10.3.2(j)</w:t>
            </w:r>
            <w:r>
              <w:rPr>
                <w:sz w:val="20"/>
              </w:rPr>
              <w:t xml:space="preserve">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3" w:name="zc726d0f3d57e42309987cedd05933d7b"/>
      <w:bookmarkStart w:id="234" w:name="zc726d0f3d57e42309987cedd05933d7b"/>
      <w:bookmarkEnd w:id="234"/>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pPr>
            <w:r>
              <w:rPr/>
            </w:r>
          </w:p>
        </w:tc>
        <w:tc>
          <w:tcPr>
            <w:tcW w:w="188" w:type="dxa"/>
            <w:tcBorders/>
            <w:vAlign w:val="center"/>
          </w:tcPr>
          <w:p>
            <w:pPr>
              <w:pStyle w:val="TableContents"/>
              <w:bidi w:val="0"/>
              <w:spacing w:before="0" w:after="283"/>
              <w:jc w:val="left"/>
              <w:rPr/>
            </w:pPr>
            <w:r>
              <w:rPr/>
              <w:t>“</w:t>
            </w:r>
            <w:r>
              <w:rPr>
                <w:b/>
              </w:rPr>
              <w:t>(j)</w:t>
            </w:r>
          </w:p>
        </w:tc>
        <w:tc>
          <w:tcPr>
            <w:tcW w:w="9979" w:type="dxa"/>
            <w:tcBorders/>
            <w:vAlign w:val="center"/>
          </w:tcPr>
          <w:p>
            <w:pPr>
              <w:pStyle w:val="TableContents"/>
              <w:bidi w:val="0"/>
              <w:spacing w:before="0" w:after="0"/>
              <w:jc w:val="both"/>
              <w:rPr/>
            </w:pPr>
            <w:r>
              <w:rPr/>
              <w:t xml:space="preserve">for clarity, the licenses granted by AstraZeneca pursuant to this </w:t>
            </w:r>
            <w:r>
              <w:rPr>
                <w:u w:val="single"/>
              </w:rPr>
              <w:t>Section 10.3.2</w:t>
            </w:r>
            <w:r>
              <w:rPr/>
              <w:t xml:space="preserve"> do not include any intellectual property rights relating to (i) compounds or other active ingredients either alone or in combination other than the Compound contained in the Discontinued Product or (ii) the Exploitation of such other compound or active ingredient (either alone or in combination) or (iii) any formulation technology, delivery technology, device technology, manufacturing technology or other platform technology that is not necessary or used with the Discontinued Product as of the effective date of such termination to Exploit the Discontinued Product.  With respect to a Discontinued Product that contains a [***] Compound for [***] solely for manufacture and supply of the Discontinued Product for Ionis and under industry standard confidentiality provisions reasonably acceptable to AstraZeneca.”</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235" w:name="z9c808bd9c98c40f7b522ed98103d6dab"/>
      <w:bookmarkStart w:id="236" w:name="z9c808bd9c98c40f7b522ed98103d6dab"/>
      <w:bookmarkEnd w:id="236"/>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cc.</w:t>
            </w:r>
          </w:p>
        </w:tc>
        <w:tc>
          <w:tcPr>
            <w:tcW w:w="9877" w:type="dxa"/>
            <w:tcBorders/>
            <w:vAlign w:val="center"/>
          </w:tcPr>
          <w:p>
            <w:pPr>
              <w:pStyle w:val="TableContents"/>
              <w:bidi w:val="0"/>
              <w:spacing w:before="0" w:after="0"/>
              <w:jc w:val="both"/>
              <w:rPr>
                <w:sz w:val="24"/>
              </w:rPr>
            </w:pPr>
            <w:r>
              <w:rPr>
                <w:b/>
                <w:sz w:val="20"/>
                <w:u w:val="single"/>
              </w:rPr>
              <w:t>Section 12.7</w:t>
            </w:r>
            <w:r>
              <w:rPr>
                <w:sz w:val="20"/>
              </w:rPr>
              <w:t xml:space="preserve">.  The contact information for each of Ionis and AstraZeneca under </w:t>
            </w:r>
            <w:r>
              <w:rPr>
                <w:sz w:val="20"/>
                <w:u w:val="single"/>
              </w:rPr>
              <w:t>Section 12.7</w:t>
            </w:r>
            <w:r>
              <w:rPr>
                <w:sz w:val="20"/>
              </w:rPr>
              <w:t xml:space="preserve"> (Notices) is hereby deleted in its entirety and replaced with the following: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37" w:name="zcf784db698d34275a32dfa6f9d7fa0ec"/>
      <w:bookmarkStart w:id="238" w:name="zcf784db698d34275a32dfa6f9d7fa0ec"/>
      <w:bookmarkEnd w:id="238"/>
    </w:p>
    <w:tbl>
      <w:tblPr>
        <w:tblW w:w="6925" w:type="dxa"/>
        <w:jc w:val="left"/>
        <w:tblInd w:w="0" w:type="dxa"/>
        <w:tblLayout w:type="fixed"/>
        <w:tblCellMar>
          <w:top w:w="0" w:type="dxa"/>
          <w:left w:w="0" w:type="dxa"/>
          <w:bottom w:w="0" w:type="dxa"/>
          <w:right w:w="0" w:type="dxa"/>
        </w:tblCellMar>
      </w:tblPr>
      <w:tblGrid>
        <w:gridCol w:w="3725"/>
        <w:gridCol w:w="3200"/>
      </w:tblGrid>
      <w:tr>
        <w:trPr/>
        <w:tc>
          <w:tcPr>
            <w:tcW w:w="3725" w:type="dxa"/>
            <w:tcBorders/>
            <w:vAlign w:val="center"/>
          </w:tcPr>
          <w:p>
            <w:pPr>
              <w:pStyle w:val="TableContents"/>
              <w:bidi w:val="0"/>
              <w:spacing w:before="0" w:after="0"/>
              <w:ind w:left="720" w:right="0" w:hanging="0"/>
              <w:jc w:val="both"/>
              <w:rPr/>
            </w:pPr>
            <w:r>
              <w:rPr/>
              <w:t>“</w:t>
            </w:r>
            <w:r>
              <w:rPr/>
              <w:t>If to Ionis, addressed to:</w:t>
            </w:r>
          </w:p>
        </w:tc>
        <w:tc>
          <w:tcPr>
            <w:tcW w:w="3200" w:type="dxa"/>
            <w:tcBorders/>
            <w:vAlign w:val="center"/>
          </w:tcPr>
          <w:p>
            <w:pPr>
              <w:pStyle w:val="TableContents"/>
              <w:bidi w:val="0"/>
              <w:spacing w:before="0" w:after="0"/>
              <w:jc w:val="both"/>
              <w:rPr/>
            </w:pPr>
            <w:r>
              <w:rPr/>
              <w:t>Ionis Pharmaceuticals, Inc.</w:t>
            </w:r>
          </w:p>
        </w:tc>
      </w:tr>
      <w:tr>
        <w:trPr/>
        <w:tc>
          <w:tcPr>
            <w:tcW w:w="3725" w:type="dxa"/>
            <w:tcBorders/>
            <w:vAlign w:val="center"/>
          </w:tcPr>
          <w:p>
            <w:pPr>
              <w:pStyle w:val="TableContents"/>
              <w:bidi w:val="0"/>
              <w:spacing w:before="0" w:after="0"/>
              <w:ind w:left="720" w:right="0" w:hanging="0"/>
              <w:jc w:val="left"/>
              <w:rPr/>
            </w:pPr>
            <w:r>
              <w:rPr/>
              <w:t> </w:t>
            </w:r>
          </w:p>
        </w:tc>
        <w:tc>
          <w:tcPr>
            <w:tcW w:w="3200" w:type="dxa"/>
            <w:tcBorders/>
            <w:vAlign w:val="center"/>
          </w:tcPr>
          <w:p>
            <w:pPr>
              <w:pStyle w:val="TableContents"/>
              <w:bidi w:val="0"/>
              <w:spacing w:before="0" w:after="0"/>
              <w:jc w:val="both"/>
              <w:rPr/>
            </w:pPr>
            <w:r>
              <w:rPr/>
              <w:t>2855 Gazelle Court</w:t>
            </w:r>
          </w:p>
        </w:tc>
      </w:tr>
      <w:tr>
        <w:trPr/>
        <w:tc>
          <w:tcPr>
            <w:tcW w:w="3725" w:type="dxa"/>
            <w:tcBorders/>
            <w:vAlign w:val="center"/>
          </w:tcPr>
          <w:p>
            <w:pPr>
              <w:pStyle w:val="TableContents"/>
              <w:bidi w:val="0"/>
              <w:spacing w:before="0" w:after="0"/>
              <w:ind w:left="720" w:right="0" w:hanging="0"/>
              <w:jc w:val="left"/>
              <w:rPr/>
            </w:pPr>
            <w:r>
              <w:rPr/>
              <w:t> </w:t>
            </w:r>
          </w:p>
        </w:tc>
        <w:tc>
          <w:tcPr>
            <w:tcW w:w="3200" w:type="dxa"/>
            <w:tcBorders/>
            <w:vAlign w:val="center"/>
          </w:tcPr>
          <w:p>
            <w:pPr>
              <w:pStyle w:val="TableContents"/>
              <w:bidi w:val="0"/>
              <w:spacing w:before="0" w:after="0"/>
              <w:jc w:val="both"/>
              <w:rPr/>
            </w:pPr>
            <w:r>
              <w:rPr/>
              <w:t>Carlsbad, CA 92010</w:t>
            </w:r>
          </w:p>
        </w:tc>
      </w:tr>
      <w:tr>
        <w:trPr/>
        <w:tc>
          <w:tcPr>
            <w:tcW w:w="3725" w:type="dxa"/>
            <w:tcBorders/>
            <w:vAlign w:val="center"/>
          </w:tcPr>
          <w:p>
            <w:pPr>
              <w:pStyle w:val="TableContents"/>
              <w:bidi w:val="0"/>
              <w:spacing w:before="0" w:after="0"/>
              <w:ind w:left="720" w:right="0" w:hanging="0"/>
              <w:jc w:val="left"/>
              <w:rPr/>
            </w:pPr>
            <w:r>
              <w:rPr/>
              <w:t> </w:t>
            </w:r>
          </w:p>
        </w:tc>
        <w:tc>
          <w:tcPr>
            <w:tcW w:w="3200" w:type="dxa"/>
            <w:tcBorders/>
            <w:vAlign w:val="center"/>
          </w:tcPr>
          <w:p>
            <w:pPr>
              <w:pStyle w:val="TableContents"/>
              <w:bidi w:val="0"/>
              <w:spacing w:before="0" w:after="0"/>
              <w:jc w:val="both"/>
              <w:rPr/>
            </w:pPr>
            <w:r>
              <w:rPr/>
              <w:t>Attention: Chief Business Officer</w:t>
            </w:r>
          </w:p>
        </w:tc>
      </w:tr>
      <w:tr>
        <w:trPr/>
        <w:tc>
          <w:tcPr>
            <w:tcW w:w="372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ind w:left="720" w:right="0" w:hanging="0"/>
              <w:jc w:val="both"/>
              <w:rPr/>
            </w:pPr>
            <w:r>
              <w:rPr/>
              <w:t>With a copy to</w:t>
            </w:r>
          </w:p>
        </w:tc>
        <w:tc>
          <w:tcPr>
            <w:tcW w:w="320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ind w:left="720" w:right="0" w:hanging="0"/>
              <w:jc w:val="both"/>
              <w:rPr/>
            </w:pPr>
            <w:r>
              <w:rPr/>
              <w:t>(which copy will not constitute notice):</w:t>
            </w:r>
          </w:p>
        </w:tc>
        <w:tc>
          <w:tcPr>
            <w:tcW w:w="3200" w:type="dxa"/>
            <w:tcBorders/>
            <w:vAlign w:val="center"/>
          </w:tcPr>
          <w:p>
            <w:pPr>
              <w:pStyle w:val="TableContents"/>
              <w:bidi w:val="0"/>
              <w:spacing w:before="0" w:after="0"/>
              <w:jc w:val="both"/>
              <w:rPr/>
            </w:pPr>
            <w:r>
              <w:rPr/>
              <w:t>[***]</w:t>
            </w:r>
          </w:p>
        </w:tc>
      </w:tr>
      <w:tr>
        <w:trPr/>
        <w:tc>
          <w:tcPr>
            <w:tcW w:w="3725" w:type="dxa"/>
            <w:tcBorders/>
            <w:vAlign w:val="center"/>
          </w:tcPr>
          <w:p>
            <w:pPr>
              <w:pStyle w:val="TableContents"/>
              <w:bidi w:val="0"/>
              <w:spacing w:before="0" w:after="0"/>
              <w:ind w:left="720" w:right="0" w:hanging="0"/>
              <w:jc w:val="left"/>
              <w:rPr/>
            </w:pPr>
            <w:r>
              <w:rPr/>
              <w:t> </w:t>
            </w:r>
          </w:p>
        </w:tc>
        <w:tc>
          <w:tcPr>
            <w:tcW w:w="3200" w:type="dxa"/>
            <w:tcBorders/>
            <w:vAlign w:val="center"/>
          </w:tcPr>
          <w:p>
            <w:pPr>
              <w:pStyle w:val="TableContents"/>
              <w:bidi w:val="0"/>
              <w:spacing w:before="0" w:after="0"/>
              <w:jc w:val="both"/>
              <w:rPr/>
            </w:pPr>
            <w:r>
              <w:rPr/>
              <w:t>Attention: General Counsel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239" w:name="zfe96c61b774f4915a6eb100a27f44eb7"/>
      <w:bookmarkStart w:id="240" w:name="zfe96c61b774f4915a6eb100a27f44eb7"/>
      <w:bookmarkEnd w:id="240"/>
    </w:p>
    <w:tbl>
      <w:tblPr>
        <w:tblW w:w="7360" w:type="dxa"/>
        <w:jc w:val="left"/>
        <w:tblInd w:w="0" w:type="dxa"/>
        <w:tblLayout w:type="fixed"/>
        <w:tblCellMar>
          <w:top w:w="0" w:type="dxa"/>
          <w:left w:w="0" w:type="dxa"/>
          <w:bottom w:w="0" w:type="dxa"/>
          <w:right w:w="0" w:type="dxa"/>
        </w:tblCellMar>
      </w:tblPr>
      <w:tblGrid>
        <w:gridCol w:w="3710"/>
        <w:gridCol w:w="3650"/>
      </w:tblGrid>
      <w:tr>
        <w:trPr/>
        <w:tc>
          <w:tcPr>
            <w:tcW w:w="3710" w:type="dxa"/>
            <w:tcBorders/>
            <w:vAlign w:val="center"/>
          </w:tcPr>
          <w:p>
            <w:pPr>
              <w:pStyle w:val="TableContents"/>
              <w:bidi w:val="0"/>
              <w:spacing w:before="0" w:after="0"/>
              <w:ind w:left="720" w:right="0" w:hanging="0"/>
              <w:jc w:val="both"/>
              <w:rPr/>
            </w:pPr>
            <w:r>
              <w:rPr/>
              <w:t>If to AstraZeneca, addressed to:</w:t>
            </w:r>
          </w:p>
        </w:tc>
        <w:tc>
          <w:tcPr>
            <w:tcW w:w="3650" w:type="dxa"/>
            <w:tcBorders/>
            <w:vAlign w:val="center"/>
          </w:tcPr>
          <w:p>
            <w:pPr>
              <w:pStyle w:val="TableContents"/>
              <w:bidi w:val="0"/>
              <w:spacing w:before="0" w:after="0"/>
              <w:jc w:val="both"/>
              <w:rPr/>
            </w:pPr>
            <w:r>
              <w:rPr/>
              <w:t>AstraZeneca AB</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0"/>
              <w:jc w:val="both"/>
              <w:rPr/>
            </w:pPr>
            <w:r>
              <w:rPr/>
              <w:t>SE-431 83 Mölndal</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0"/>
              <w:jc w:val="both"/>
              <w:rPr/>
            </w:pPr>
            <w:r>
              <w:rPr/>
              <w:t>Sweden</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0"/>
              <w:jc w:val="both"/>
              <w:rPr/>
            </w:pPr>
            <w:r>
              <w:rPr/>
              <w:t>Attention: VP, Global Head of the</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0"/>
              <w:jc w:val="both"/>
              <w:rPr/>
            </w:pPr>
            <w:r>
              <w:rPr/>
              <w:t>Business Development and Licensing,</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0"/>
              <w:jc w:val="both"/>
              <w:rPr/>
            </w:pPr>
            <w:r>
              <w:rPr/>
              <w:t>BioPharmaceuticals R&amp;D</w:t>
            </w:r>
          </w:p>
        </w:tc>
      </w:tr>
      <w:tr>
        <w:trPr/>
        <w:tc>
          <w:tcPr>
            <w:tcW w:w="3710" w:type="dxa"/>
            <w:tcBorders/>
            <w:vAlign w:val="center"/>
          </w:tcPr>
          <w:p>
            <w:pPr>
              <w:pStyle w:val="TableContents"/>
              <w:bidi w:val="0"/>
              <w:spacing w:before="0" w:after="0"/>
              <w:ind w:left="720" w:right="0" w:hanging="0"/>
              <w:jc w:val="left"/>
              <w:rPr/>
            </w:pPr>
            <w:r>
              <w:rPr/>
              <w:t> </w:t>
            </w:r>
          </w:p>
        </w:tc>
        <w:tc>
          <w:tcPr>
            <w:tcW w:w="365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ind w:left="720" w:right="0" w:hanging="0"/>
              <w:jc w:val="both"/>
              <w:rPr/>
            </w:pPr>
            <w:r>
              <w:rPr/>
              <w:t>With a copy to</w:t>
            </w:r>
          </w:p>
        </w:tc>
        <w:tc>
          <w:tcPr>
            <w:tcW w:w="3650"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0"/>
              <w:ind w:left="720" w:right="0" w:hanging="0"/>
              <w:jc w:val="both"/>
              <w:rPr/>
            </w:pPr>
            <w:r>
              <w:rPr/>
              <w:t>(which copy will not constitute notice):</w:t>
            </w:r>
          </w:p>
        </w:tc>
        <w:tc>
          <w:tcPr>
            <w:tcW w:w="3650" w:type="dxa"/>
            <w:tcBorders/>
            <w:vAlign w:val="center"/>
          </w:tcPr>
          <w:p>
            <w:pPr>
              <w:pStyle w:val="TableContents"/>
              <w:bidi w:val="0"/>
              <w:spacing w:before="0" w:after="0"/>
              <w:jc w:val="both"/>
              <w:rPr/>
            </w:pPr>
            <w:r>
              <w:rPr/>
              <w:t>[***]</w:t>
            </w:r>
          </w:p>
        </w:tc>
      </w:tr>
      <w:tr>
        <w:trPr/>
        <w:tc>
          <w:tcPr>
            <w:tcW w:w="371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both"/>
              <w:rPr/>
            </w:pPr>
            <w:r>
              <w:rPr/>
              <w:t>Attention: Deputy General Counsel,</w:t>
            </w:r>
          </w:p>
        </w:tc>
      </w:tr>
      <w:tr>
        <w:trPr/>
        <w:tc>
          <w:tcPr>
            <w:tcW w:w="371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both"/>
              <w:rPr/>
            </w:pPr>
            <w:r>
              <w:rPr/>
              <w:t>Corporate Legal”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1" w:name="z718d3d8bc72344fd92072858709aba9a"/>
      <w:bookmarkStart w:id="242" w:name="z718d3d8bc72344fd92072858709aba9a"/>
      <w:bookmarkEnd w:id="242"/>
    </w:p>
    <w:tbl>
      <w:tblPr>
        <w:tblW w:w="9948" w:type="dxa"/>
        <w:jc w:val="left"/>
        <w:tblInd w:w="0" w:type="dxa"/>
        <w:tblLayout w:type="fixed"/>
        <w:tblCellMar>
          <w:top w:w="0" w:type="dxa"/>
          <w:left w:w="0" w:type="dxa"/>
          <w:bottom w:w="0" w:type="dxa"/>
          <w:right w:w="0" w:type="dxa"/>
        </w:tblCellMar>
      </w:tblPr>
      <w:tblGrid>
        <w:gridCol w:w="38"/>
        <w:gridCol w:w="320"/>
        <w:gridCol w:w="9590"/>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dd.</w:t>
            </w:r>
          </w:p>
        </w:tc>
        <w:tc>
          <w:tcPr>
            <w:tcW w:w="9590"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1</w:t>
            </w:r>
            <w:r>
              <w:rPr>
                <w:sz w:val="20"/>
              </w:rPr>
              <w:t xml:space="preserve">.  </w:t>
            </w:r>
            <w:r>
              <w:rPr>
                <w:smallCaps/>
                <w:sz w:val="20"/>
                <w:u w:val="single"/>
              </w:rPr>
              <w:t>Appendix</w:t>
            </w:r>
            <w:r>
              <w:rPr>
                <w:sz w:val="20"/>
                <w:u w:val="single"/>
              </w:rPr>
              <w:t xml:space="preserve"> 1</w:t>
            </w:r>
            <w:r>
              <w:rPr>
                <w:sz w:val="20"/>
              </w:rPr>
              <w:t xml:space="preserve"> (Definitions) is hereby amended as set forth in </w:t>
            </w:r>
            <w:r>
              <w:rPr>
                <w:smallCaps/>
                <w:sz w:val="20"/>
                <w:u w:val="single"/>
              </w:rPr>
              <w:t>Appendix</w:t>
            </w:r>
            <w:r>
              <w:rPr>
                <w:sz w:val="20"/>
                <w:u w:val="single"/>
              </w:rPr>
              <w:t xml:space="preserve"> 1A</w:t>
            </w:r>
            <w:r>
              <w:rPr>
                <w:sz w:val="20"/>
              </w:rPr>
              <w:t xml:space="preserve"> (Definitions), attached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3" w:name="zb49a55c058a945c49058e96645910253"/>
      <w:bookmarkStart w:id="244" w:name="zb49a55c058a945c49058e96645910253"/>
      <w:bookmarkEnd w:id="244"/>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ee.</w:t>
            </w:r>
          </w:p>
        </w:tc>
        <w:tc>
          <w:tcPr>
            <w:tcW w:w="9877"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4</w:t>
            </w:r>
            <w:r>
              <w:rPr>
                <w:sz w:val="20"/>
              </w:rPr>
              <w:t xml:space="preserve">.  </w:t>
            </w:r>
            <w:r>
              <w:rPr>
                <w:smallCaps/>
                <w:sz w:val="20"/>
                <w:u w:val="single"/>
              </w:rPr>
              <w:t>Appendix</w:t>
            </w:r>
            <w:r>
              <w:rPr>
                <w:sz w:val="20"/>
                <w:u w:val="single"/>
              </w:rPr>
              <w:t xml:space="preserve"> 4</w:t>
            </w:r>
            <w:r>
              <w:rPr>
                <w:sz w:val="20"/>
              </w:rPr>
              <w:t xml:space="preserve"> (Ionis Core Technology Patents) is hereby amended to include the Ionis Core Technology Patents with respect to the Lead [***] Compound and the Secondary [***] Compound, which are identified in </w:t>
            </w:r>
            <w:r>
              <w:rPr>
                <w:smallCaps/>
                <w:sz w:val="20"/>
                <w:u w:val="single"/>
              </w:rPr>
              <w:t>Appendix</w:t>
            </w:r>
            <w:r>
              <w:rPr>
                <w:sz w:val="20"/>
                <w:u w:val="single"/>
              </w:rPr>
              <w:t xml:space="preserve"> 4A</w:t>
            </w:r>
            <w:r>
              <w:rPr>
                <w:sz w:val="20"/>
              </w:rPr>
              <w:t xml:space="preserve"> attached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5" w:name="z85f8931056544d7ebc5f2e4a76a94185"/>
      <w:bookmarkStart w:id="246" w:name="z85f8931056544d7ebc5f2e4a76a94185"/>
      <w:bookmarkEnd w:id="246"/>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ff.</w:t>
            </w:r>
          </w:p>
        </w:tc>
        <w:tc>
          <w:tcPr>
            <w:tcW w:w="9937"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5</w:t>
            </w:r>
            <w:r>
              <w:rPr>
                <w:sz w:val="20"/>
              </w:rPr>
              <w:t xml:space="preserve">.  </w:t>
            </w:r>
            <w:r>
              <w:rPr>
                <w:smallCaps/>
                <w:sz w:val="20"/>
                <w:u w:val="single"/>
              </w:rPr>
              <w:t>Appendix</w:t>
            </w:r>
            <w:r>
              <w:rPr>
                <w:sz w:val="20"/>
                <w:u w:val="single"/>
              </w:rPr>
              <w:t xml:space="preserve"> 5</w:t>
            </w:r>
            <w:r>
              <w:rPr>
                <w:sz w:val="20"/>
              </w:rPr>
              <w:t xml:space="preserve"> (Ionis Manufacturing and Analytical Patents) is hereby amended to include the Ionis Manufacturing and Analytical Patents with respect to the Lead [***] Compound and the Secondary [***] Compound, which are identified in </w:t>
            </w:r>
            <w:r>
              <w:rPr>
                <w:smallCaps/>
                <w:sz w:val="20"/>
                <w:u w:val="single"/>
              </w:rPr>
              <w:t>Appendix</w:t>
            </w:r>
            <w:r>
              <w:rPr>
                <w:sz w:val="20"/>
                <w:u w:val="single"/>
              </w:rPr>
              <w:t xml:space="preserve"> 5A</w:t>
            </w:r>
            <w:r>
              <w:rPr>
                <w:sz w:val="20"/>
              </w:rPr>
              <w:t xml:space="preserve"> attached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7" w:name="z17e0603666e24ee5b3854ea47a01622e"/>
      <w:bookmarkStart w:id="248" w:name="z17e0603666e24ee5b3854ea47a01622e"/>
      <w:bookmarkEnd w:id="248"/>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gg.</w:t>
            </w:r>
          </w:p>
        </w:tc>
        <w:tc>
          <w:tcPr>
            <w:tcW w:w="9847"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6</w:t>
            </w:r>
            <w:r>
              <w:rPr>
                <w:sz w:val="20"/>
              </w:rPr>
              <w:t xml:space="preserve">.  </w:t>
            </w:r>
            <w:r>
              <w:rPr>
                <w:smallCaps/>
                <w:sz w:val="20"/>
                <w:u w:val="single"/>
              </w:rPr>
              <w:t>Appendix</w:t>
            </w:r>
            <w:r>
              <w:rPr>
                <w:sz w:val="20"/>
                <w:u w:val="single"/>
              </w:rPr>
              <w:t xml:space="preserve"> 6</w:t>
            </w:r>
            <w:r>
              <w:rPr>
                <w:sz w:val="20"/>
              </w:rPr>
              <w:t xml:space="preserve"> (Ionis Product-Specific Patents) is hereby amended to include the Ionis Product-Specific Patents with respect to the [***] Products, which are identified in </w:t>
            </w:r>
            <w:r>
              <w:rPr>
                <w:smallCaps/>
                <w:sz w:val="20"/>
                <w:u w:val="single"/>
              </w:rPr>
              <w:t>Appendix</w:t>
            </w:r>
            <w:r>
              <w:rPr>
                <w:sz w:val="20"/>
                <w:u w:val="single"/>
              </w:rPr>
              <w:t xml:space="preserve"> 6A</w:t>
            </w:r>
            <w:r>
              <w:rPr>
                <w:sz w:val="20"/>
              </w:rPr>
              <w:t xml:space="preserve"> attached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9" w:name="z89e7cfc187e64a2a8a00061fbce7fcc6"/>
      <w:bookmarkStart w:id="250" w:name="z89e7cfc187e64a2a8a00061fbce7fcc6"/>
      <w:bookmarkEnd w:id="250"/>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t>hh.</w:t>
            </w:r>
          </w:p>
        </w:tc>
        <w:tc>
          <w:tcPr>
            <w:tcW w:w="9847"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7</w:t>
            </w:r>
            <w:r>
              <w:rPr>
                <w:sz w:val="20"/>
              </w:rPr>
              <w:t xml:space="preserve">.  </w:t>
            </w:r>
            <w:r>
              <w:rPr>
                <w:smallCaps/>
                <w:sz w:val="20"/>
                <w:u w:val="single"/>
              </w:rPr>
              <w:t>Appendix</w:t>
            </w:r>
            <w:r>
              <w:rPr>
                <w:sz w:val="20"/>
                <w:u w:val="single"/>
              </w:rPr>
              <w:t xml:space="preserve"> 7</w:t>
            </w:r>
            <w:r>
              <w:rPr>
                <w:sz w:val="20"/>
              </w:rPr>
              <w:t xml:space="preserve"> (Prior Agreements) is hereby amended to include the agreements identified in </w:t>
            </w:r>
            <w:r>
              <w:rPr>
                <w:smallCaps/>
                <w:sz w:val="20"/>
                <w:u w:val="single"/>
              </w:rPr>
              <w:t>Appendix</w:t>
            </w:r>
            <w:r>
              <w:rPr>
                <w:sz w:val="20"/>
                <w:u w:val="single"/>
              </w:rPr>
              <w:t xml:space="preserve"> 7A</w:t>
            </w:r>
            <w:r>
              <w:rPr>
                <w:sz w:val="20"/>
              </w:rPr>
              <w:t xml:space="preserve"> (Prior Agreements), attached hereto, in appropriate alphabetical order.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1" w:name="zd84248321d774dcbbcfd4767d828c244"/>
      <w:bookmarkStart w:id="252" w:name="zd84248321d774dcbbcfd4767d828c244"/>
      <w:bookmarkEnd w:id="252"/>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0"/>
              <w:jc w:val="both"/>
              <w:rPr>
                <w:sz w:val="24"/>
              </w:rPr>
            </w:pPr>
            <w:r>
              <w:rPr>
                <w:b/>
                <w:smallCaps/>
                <w:sz w:val="20"/>
                <w:u w:val="single"/>
              </w:rPr>
              <w:t>Appendices</w:t>
            </w:r>
            <w:r>
              <w:rPr>
                <w:sz w:val="24"/>
                <w:u w:val="single"/>
              </w:rPr>
              <w:t xml:space="preserve"> </w:t>
            </w:r>
            <w:r>
              <w:rPr>
                <w:b/>
                <w:sz w:val="20"/>
                <w:u w:val="single"/>
              </w:rPr>
              <w:t>8A and 8B</w:t>
            </w:r>
            <w:r>
              <w:rPr>
                <w:sz w:val="20"/>
              </w:rPr>
              <w:t xml:space="preserve">.  The Agreement is hereby amended to include new </w:t>
            </w:r>
            <w:r>
              <w:rPr>
                <w:smallCaps/>
                <w:sz w:val="20"/>
                <w:u w:val="single"/>
              </w:rPr>
              <w:t>Appendix</w:t>
            </w:r>
            <w:r>
              <w:rPr>
                <w:sz w:val="20"/>
                <w:u w:val="single"/>
              </w:rPr>
              <w:t xml:space="preserve"> 8A</w:t>
            </w:r>
            <w:r>
              <w:rPr>
                <w:sz w:val="20"/>
              </w:rPr>
              <w:t xml:space="preserve"> (Lead [***] Compound) and </w:t>
            </w:r>
            <w:r>
              <w:rPr>
                <w:smallCaps/>
                <w:sz w:val="20"/>
                <w:u w:val="single"/>
              </w:rPr>
              <w:t>Appendix</w:t>
            </w:r>
            <w:r>
              <w:rPr>
                <w:sz w:val="20"/>
                <w:u w:val="single"/>
              </w:rPr>
              <w:t xml:space="preserve"> 8B</w:t>
            </w:r>
            <w:r>
              <w:rPr>
                <w:sz w:val="20"/>
              </w:rPr>
              <w:t xml:space="preserve"> (Secondary [***] Compound), attached hereto, at the end of the appendices attached to the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3" w:name="z2d703f30f06046b3a1d485b14f269a11"/>
      <w:bookmarkStart w:id="254" w:name="z2d703f30f06046b3a1d485b14f269a11"/>
      <w:bookmarkEnd w:id="254"/>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jj.</w:t>
            </w:r>
          </w:p>
        </w:tc>
        <w:tc>
          <w:tcPr>
            <w:tcW w:w="9967" w:type="dxa"/>
            <w:tcBorders/>
            <w:vAlign w:val="center"/>
          </w:tcPr>
          <w:p>
            <w:pPr>
              <w:pStyle w:val="TableContents"/>
              <w:bidi w:val="0"/>
              <w:spacing w:before="0" w:after="0"/>
              <w:jc w:val="both"/>
              <w:rPr>
                <w:sz w:val="24"/>
              </w:rPr>
            </w:pPr>
            <w:r>
              <w:rPr>
                <w:b/>
                <w:smallCaps/>
                <w:sz w:val="20"/>
                <w:u w:val="single"/>
              </w:rPr>
              <w:t>Appendix</w:t>
            </w:r>
            <w:r>
              <w:rPr>
                <w:sz w:val="24"/>
                <w:u w:val="single"/>
              </w:rPr>
              <w:t xml:space="preserve"> </w:t>
            </w:r>
            <w:r>
              <w:rPr>
                <w:b/>
                <w:sz w:val="20"/>
                <w:u w:val="single"/>
              </w:rPr>
              <w:t>9</w:t>
            </w:r>
            <w:r>
              <w:rPr>
                <w:sz w:val="20"/>
              </w:rPr>
              <w:t xml:space="preserve">.  The Agreement is hereby amended to include new </w:t>
            </w:r>
            <w:r>
              <w:rPr>
                <w:smallCaps/>
                <w:sz w:val="20"/>
                <w:u w:val="single"/>
              </w:rPr>
              <w:t>Appendix</w:t>
            </w:r>
            <w:r>
              <w:rPr>
                <w:sz w:val="20"/>
                <w:u w:val="single"/>
              </w:rPr>
              <w:t xml:space="preserve"> 9</w:t>
            </w:r>
            <w:r>
              <w:rPr>
                <w:sz w:val="20"/>
              </w:rPr>
              <w:t xml:space="preserve"> (Lead [***] Compound Technology Transfer Plan), attached hereto, at the end of the appendices attached to the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5" w:name="zedf8063561da41029c6bd9325226f6b6"/>
      <w:bookmarkStart w:id="256" w:name="zedf8063561da41029c6bd9325226f6b6"/>
      <w:bookmarkEnd w:id="256"/>
    </w:p>
    <w:tbl>
      <w:tblPr>
        <w:tblW w:w="3775" w:type="dxa"/>
        <w:jc w:val="left"/>
        <w:tblInd w:w="0" w:type="dxa"/>
        <w:tblLayout w:type="fixed"/>
        <w:tblCellMar>
          <w:top w:w="0" w:type="dxa"/>
          <w:left w:w="0" w:type="dxa"/>
          <w:bottom w:w="0" w:type="dxa"/>
          <w:right w:w="0" w:type="dxa"/>
        </w:tblCellMar>
      </w:tblPr>
      <w:tblGrid>
        <w:gridCol w:w="215"/>
        <w:gridCol w:w="3560"/>
      </w:tblGrid>
      <w:tr>
        <w:trPr/>
        <w:tc>
          <w:tcPr>
            <w:tcW w:w="215" w:type="dxa"/>
            <w:tcBorders/>
            <w:vAlign w:val="center"/>
          </w:tcPr>
          <w:p>
            <w:pPr>
              <w:pStyle w:val="TableContents"/>
              <w:bidi w:val="0"/>
              <w:spacing w:before="0" w:after="283"/>
              <w:jc w:val="left"/>
              <w:rPr/>
            </w:pPr>
            <w:r>
              <w:rPr/>
              <w:t>3.</w:t>
            </w:r>
          </w:p>
        </w:tc>
        <w:tc>
          <w:tcPr>
            <w:tcW w:w="3560" w:type="dxa"/>
            <w:tcBorders/>
            <w:vAlign w:val="center"/>
          </w:tcPr>
          <w:p>
            <w:pPr>
              <w:pStyle w:val="TableContents"/>
              <w:bidi w:val="0"/>
              <w:spacing w:before="0" w:after="0"/>
              <w:jc w:val="both"/>
              <w:rPr>
                <w:b/>
                <w:u w:val="single"/>
              </w:rPr>
            </w:pPr>
            <w:r>
              <w:rPr>
                <w:b/>
                <w:u w:val="single"/>
              </w:rPr>
              <w:t>Fourth Amendment Effective Date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Fourth Amendment will become effective on the Fourth Amendment Effective Date.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Normal"/>
        <w:bidi w:val="0"/>
        <w:spacing w:before="0" w:after="0"/>
        <w:jc w:val="left"/>
        <w:rPr>
          <w:sz w:val="4"/>
          <w:szCs w:val="4"/>
        </w:rPr>
      </w:pPr>
      <w:r>
        <w:rPr>
          <w:sz w:val="4"/>
          <w:szCs w:val="4"/>
        </w:rPr>
      </w:r>
      <w:bookmarkStart w:id="257" w:name="z5ef7e1d7344a4fe4a29c121c5ec40c3e"/>
      <w:bookmarkStart w:id="258" w:name="z5ef7e1d7344a4fe4a29c121c5ec40c3e"/>
      <w:bookmarkEnd w:id="258"/>
    </w:p>
    <w:tbl>
      <w:tblPr>
        <w:tblW w:w="2080" w:type="dxa"/>
        <w:jc w:val="left"/>
        <w:tblInd w:w="0" w:type="dxa"/>
        <w:tblLayout w:type="fixed"/>
        <w:tblCellMar>
          <w:top w:w="0" w:type="dxa"/>
          <w:left w:w="0" w:type="dxa"/>
          <w:bottom w:w="0" w:type="dxa"/>
          <w:right w:w="0" w:type="dxa"/>
        </w:tblCellMar>
      </w:tblPr>
      <w:tblGrid>
        <w:gridCol w:w="215"/>
        <w:gridCol w:w="1865"/>
      </w:tblGrid>
      <w:tr>
        <w:trPr/>
        <w:tc>
          <w:tcPr>
            <w:tcW w:w="215" w:type="dxa"/>
            <w:tcBorders/>
            <w:vAlign w:val="center"/>
          </w:tcPr>
          <w:p>
            <w:pPr>
              <w:pStyle w:val="TableContents"/>
              <w:bidi w:val="0"/>
              <w:spacing w:before="0" w:after="283"/>
              <w:jc w:val="left"/>
              <w:rPr/>
            </w:pPr>
            <w:r>
              <w:rPr/>
              <w:t>4.</w:t>
            </w:r>
          </w:p>
        </w:tc>
        <w:tc>
          <w:tcPr>
            <w:tcW w:w="1865" w:type="dxa"/>
            <w:tcBorders/>
            <w:vAlign w:val="center"/>
          </w:tcPr>
          <w:p>
            <w:pPr>
              <w:pStyle w:val="TableContents"/>
              <w:bidi w:val="0"/>
              <w:spacing w:before="0" w:after="0"/>
              <w:jc w:val="both"/>
              <w:rPr>
                <w:b/>
                <w:u w:val="single"/>
              </w:rPr>
            </w:pPr>
            <w:r>
              <w:rPr>
                <w:b/>
                <w:u w:val="single"/>
              </w:rPr>
              <w:t>Entire Agreement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Fourth Amendment (including all appendices attached hereto), together with the Agreement, constitutes the entire agreement between the Parties with respect to the subject matter of the Agreement.  The Agreement together with this Fourth Amendment supersedes all prior agreements, whether written or oral, with respect to the subject matter of the Agreement, as amended.  Each Party confirms that it is not relying on any representations, warranties, or covenants of the other Party except as specifically set out in the Agreement, as amended.  Nothing in this Fourth Amendment is intended to limit or exclude any liability or fraud.  The Parties hereby agree that subject to the modifications specifically stated in this Fourth Amendment, all other terms and conditions of the Agreement shall remain in full force and effect.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blank</w:t>
      </w:r>
      <w:r>
        <w:rPr>
          <w:rFonts w:ascii="Times New Roman" w:hAnsi="Times New Roman"/>
          <w:color w:val="000000"/>
          <w:sz w:val="20"/>
        </w:rPr>
        <w:t xml:space="preserve">. </w:t>
      </w:r>
      <w:r>
        <w:rPr>
          <w:rFonts w:ascii="Times New Roman" w:hAnsi="Times New Roman"/>
          <w:i/>
          <w:color w:val="000000"/>
          <w:sz w:val="20"/>
        </w:rPr>
        <w:t>Signatures follow</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Execution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FOURTH AMENDMENT IS EXECUTED by the authorized representatives of the Parties as of 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238c159c01794a19b3353494ca7650fc"/>
      <w:bookmarkStart w:id="260" w:name="z238c159c01794a19b3353494ca7650fc"/>
      <w:bookmarkEnd w:id="260"/>
    </w:p>
    <w:tbl>
      <w:tblPr>
        <w:tblW w:w="7013" w:type="dxa"/>
        <w:jc w:val="left"/>
        <w:tblInd w:w="0" w:type="dxa"/>
        <w:tblLayout w:type="fixed"/>
        <w:tblCellMar>
          <w:top w:w="0" w:type="dxa"/>
          <w:left w:w="0" w:type="dxa"/>
          <w:bottom w:w="0" w:type="dxa"/>
          <w:right w:w="0" w:type="dxa"/>
        </w:tblCellMar>
      </w:tblPr>
      <w:tblGrid>
        <w:gridCol w:w="837"/>
        <w:gridCol w:w="2197"/>
        <w:gridCol w:w="60"/>
        <w:gridCol w:w="1271"/>
        <w:gridCol w:w="2648"/>
      </w:tblGrid>
      <w:tr>
        <w:trPr/>
        <w:tc>
          <w:tcPr>
            <w:tcW w:w="3034" w:type="dxa"/>
            <w:gridSpan w:val="2"/>
            <w:tcBorders/>
            <w:vAlign w:val="center"/>
          </w:tcPr>
          <w:p>
            <w:pPr>
              <w:pStyle w:val="TableContents"/>
              <w:bidi w:val="0"/>
              <w:spacing w:before="0" w:after="0"/>
              <w:jc w:val="both"/>
              <w:rPr>
                <w:b/>
              </w:rPr>
            </w:pPr>
            <w:r>
              <w:rPr>
                <w:b/>
              </w:rPr>
              <w:t>ASTRAZENECA AB (publ.)</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0"/>
              <w:jc w:val="both"/>
              <w:rPr>
                <w:b/>
              </w:rPr>
            </w:pPr>
            <w:r>
              <w:rPr>
                <w:b/>
              </w:rPr>
              <w:t>IONIS PHARMACEUTICALS, INC.</w:t>
            </w:r>
          </w:p>
        </w:tc>
      </w:tr>
      <w:tr>
        <w:trPr/>
        <w:tc>
          <w:tcPr>
            <w:tcW w:w="30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837" w:type="dxa"/>
            <w:tcBorders/>
            <w:vAlign w:val="center"/>
          </w:tcPr>
          <w:p>
            <w:pPr>
              <w:pStyle w:val="TableContents"/>
              <w:bidi w:val="0"/>
              <w:spacing w:before="0" w:after="0"/>
              <w:jc w:val="both"/>
              <w:rPr/>
            </w:pPr>
            <w:r>
              <w:rPr/>
              <w:t>By:</w:t>
            </w:r>
          </w:p>
        </w:tc>
        <w:tc>
          <w:tcPr>
            <w:tcW w:w="2197" w:type="dxa"/>
            <w:tcBorders>
              <w:bottom w:val="single" w:sz="12" w:space="0" w:color="000000"/>
            </w:tcBorders>
            <w:tcMar>
              <w:bottom w:w="28" w:type="dxa"/>
            </w:tcMar>
            <w:vAlign w:val="center"/>
          </w:tcPr>
          <w:p>
            <w:pPr>
              <w:pStyle w:val="TableContents"/>
              <w:bidi w:val="0"/>
              <w:spacing w:before="0" w:after="0"/>
              <w:jc w:val="both"/>
              <w:rPr>
                <w:sz w:val="24"/>
              </w:rPr>
            </w:pPr>
            <w:r>
              <w:rPr>
                <w:i/>
                <w:sz w:val="20"/>
              </w:rPr>
              <w:t>/s/</w:t>
            </w:r>
            <w:r>
              <w:rPr>
                <w:sz w:val="24"/>
              </w:rPr>
              <w:t> </w:t>
            </w:r>
            <w:r>
              <w:rPr>
                <w:i/>
                <w:sz w:val="20"/>
              </w:rPr>
              <w:t>Ulrika Lilja</w:t>
            </w:r>
          </w:p>
        </w:tc>
        <w:tc>
          <w:tcPr>
            <w:tcW w:w="60"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0"/>
              <w:jc w:val="both"/>
              <w:rPr/>
            </w:pPr>
            <w:r>
              <w:rPr/>
              <w:t>By:</w:t>
            </w:r>
          </w:p>
        </w:tc>
        <w:tc>
          <w:tcPr>
            <w:tcW w:w="2648" w:type="dxa"/>
            <w:tcBorders>
              <w:bottom w:val="single" w:sz="12" w:space="0" w:color="000000"/>
            </w:tcBorders>
            <w:tcMar>
              <w:bottom w:w="28" w:type="dxa"/>
            </w:tcMar>
            <w:vAlign w:val="center"/>
          </w:tcPr>
          <w:p>
            <w:pPr>
              <w:pStyle w:val="TableContents"/>
              <w:bidi w:val="0"/>
              <w:spacing w:before="0" w:after="0"/>
              <w:jc w:val="both"/>
              <w:rPr>
                <w:i/>
              </w:rPr>
            </w:pPr>
            <w:r>
              <w:rPr>
                <w:i/>
              </w:rPr>
              <w:t>/s/ Brett Monia</w:t>
            </w:r>
          </w:p>
        </w:tc>
      </w:tr>
      <w:tr>
        <w:trPr/>
        <w:tc>
          <w:tcPr>
            <w:tcW w:w="303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pPr>
            <w:r>
              <w:rPr/>
              <w:t> </w:t>
            </w:r>
          </w:p>
        </w:tc>
      </w:tr>
      <w:tr>
        <w:trPr/>
        <w:tc>
          <w:tcPr>
            <w:tcW w:w="3034" w:type="dxa"/>
            <w:gridSpan w:val="2"/>
            <w:tcBorders/>
            <w:vAlign w:val="center"/>
          </w:tcPr>
          <w:p>
            <w:pPr>
              <w:pStyle w:val="TableContents"/>
              <w:bidi w:val="0"/>
              <w:spacing w:before="0" w:after="0"/>
              <w:jc w:val="both"/>
              <w:rPr/>
            </w:pPr>
            <w:r>
              <w:rPr/>
              <w:t>Name: Ulrika Lilja</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0"/>
              <w:jc w:val="both"/>
              <w:rPr/>
            </w:pPr>
            <w:r>
              <w:rPr/>
              <w:t>Name: Brett Monia</w:t>
            </w:r>
          </w:p>
        </w:tc>
      </w:tr>
      <w:tr>
        <w:trPr/>
        <w:tc>
          <w:tcPr>
            <w:tcW w:w="3034" w:type="dxa"/>
            <w:gridSpan w:val="2"/>
            <w:tcBorders/>
            <w:vAlign w:val="center"/>
          </w:tcPr>
          <w:p>
            <w:pPr>
              <w:pStyle w:val="TableContents"/>
              <w:bidi w:val="0"/>
              <w:spacing w:before="0" w:after="0"/>
              <w:jc w:val="both"/>
              <w:rPr/>
            </w:pPr>
            <w:r>
              <w:rPr/>
              <w:t>Title: Authorised Signatory</w:t>
            </w:r>
          </w:p>
        </w:tc>
        <w:tc>
          <w:tcPr>
            <w:tcW w:w="60"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0"/>
              <w:jc w:val="both"/>
              <w:rPr/>
            </w:pPr>
            <w:r>
              <w:rPr/>
              <w:t>Title: CEO</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1A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Additional [***] Product-Specific Patents</w:t>
      </w:r>
      <w:r>
        <w:rPr>
          <w:rFonts w:ascii="Times New Roman" w:hAnsi="Times New Roman"/>
          <w:color w:val="000000"/>
          <w:sz w:val="20"/>
        </w:rPr>
        <w:t xml:space="preserve">” has the meaning set forth in </w:t>
      </w:r>
      <w:r>
        <w:rPr>
          <w:rFonts w:ascii="Times New Roman" w:hAnsi="Times New Roman"/>
          <w:color w:val="000000"/>
          <w:sz w:val="20"/>
          <w:u w:val="single"/>
        </w:rPr>
        <w:t>Section 6.8.2(c)(1)</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Annual Net Sales Milestone Threshold</w:t>
      </w:r>
      <w:r>
        <w:rPr>
          <w:rFonts w:ascii="Times New Roman" w:hAnsi="Times New Roman"/>
          <w:color w:val="000000"/>
          <w:sz w:val="20"/>
        </w:rPr>
        <w:t xml:space="preserve">” has the meaning set forth in </w:t>
      </w:r>
      <w:r>
        <w:rPr>
          <w:rFonts w:ascii="Times New Roman" w:hAnsi="Times New Roman"/>
          <w:color w:val="000000"/>
          <w:sz w:val="20"/>
          <w:u w:val="single"/>
        </w:rPr>
        <w:t>Section 6.14</w:t>
      </w:r>
      <w:r>
        <w:rPr>
          <w:rFonts w:ascii="Times New Roman" w:hAnsi="Times New Roman"/>
          <w:color w:val="000000"/>
          <w:sz w:val="20"/>
        </w:rPr>
        <w:t xml:space="preserve"> (Commercial Milestones).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Annual Net Sales-Based Milestone Payment</w:t>
      </w:r>
      <w:r>
        <w:rPr>
          <w:rFonts w:ascii="Times New Roman" w:hAnsi="Times New Roman"/>
          <w:color w:val="000000"/>
          <w:sz w:val="20"/>
        </w:rPr>
        <w:t xml:space="preserve">” has the meaning set forth in </w:t>
      </w:r>
      <w:r>
        <w:rPr>
          <w:rFonts w:ascii="Times New Roman" w:hAnsi="Times New Roman"/>
          <w:color w:val="000000"/>
          <w:sz w:val="20"/>
          <w:u w:val="single"/>
        </w:rPr>
        <w:t>Section 6.14</w:t>
      </w:r>
      <w:r>
        <w:rPr>
          <w:rFonts w:ascii="Times New Roman" w:hAnsi="Times New Roman"/>
          <w:color w:val="000000"/>
          <w:sz w:val="20"/>
        </w:rPr>
        <w:t xml:space="preserve"> (Commercial Milestones).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APOL1</w:t>
      </w:r>
      <w:r>
        <w:rPr>
          <w:rFonts w:ascii="Times New Roman" w:hAnsi="Times New Roman"/>
          <w:color w:val="000000"/>
          <w:sz w:val="20"/>
        </w:rPr>
        <w:t>” means the mRNA or pre-RNA of the human apolipoprotein L1 gene (NCBI Gene ID: 8542; Ensembl Gene ID: ENSG00000100342), including any alternative splice variants, mutants, polymorphisms or fragments.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APOL1 Product</w:t>
      </w:r>
      <w:r>
        <w:rPr>
          <w:rFonts w:ascii="Times New Roman" w:hAnsi="Times New Roman"/>
          <w:color w:val="000000"/>
          <w:sz w:val="20"/>
        </w:rPr>
        <w:t xml:space="preserve">” has the meaning set forth in the </w:t>
      </w:r>
      <w:r>
        <w:rPr>
          <w:rFonts w:ascii="Times New Roman" w:hAnsi="Times New Roman"/>
          <w:color w:val="000000"/>
          <w:sz w:val="20"/>
          <w:u w:val="single"/>
        </w:rPr>
        <w:t>Recitals</w:t>
      </w:r>
      <w:r>
        <w:rPr>
          <w:rFonts w:ascii="Times New Roman" w:hAnsi="Times New Roman"/>
          <w:color w:val="000000"/>
          <w:sz w:val="20"/>
        </w:rPr>
        <w:t xml:space="preserve"> of the Fourth Amendment.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AstraZeneca Collaboration Intellectual Property</w:t>
      </w:r>
      <w:r>
        <w:rPr>
          <w:rFonts w:ascii="Times New Roman" w:hAnsi="Times New Roman"/>
          <w:color w:val="000000"/>
          <w:sz w:val="20"/>
        </w:rPr>
        <w:t>” means any Know-How and Patent Rights that were discovered, developed, invented or created by or on behalf of AstraZeneca in connection with (a) the performance of any Collaboration Plan and/or (b) if, following the Fourth Amendment Effective Date and during the Agreement Term, the Parties mutually agree, in writing, upon a Cooperation Plan, the performance of activities under such plan, in each case ((a) and (b)) including AstraZeneca’s interest in any Jointly-Owned Collaboration Technology and excluding any AstraZeneca Product-Specific Patents.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AstraZeneca Field</w:t>
      </w:r>
      <w:r>
        <w:rPr>
          <w:rFonts w:ascii="Times New Roman" w:hAnsi="Times New Roman"/>
          <w:color w:val="000000"/>
          <w:sz w:val="20"/>
        </w:rPr>
        <w:t>” means [***].</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Collaboration Intellectual Property</w:t>
      </w:r>
      <w:r>
        <w:rPr>
          <w:rFonts w:ascii="Times New Roman" w:hAnsi="Times New Roman"/>
          <w:color w:val="000000"/>
          <w:sz w:val="20"/>
        </w:rPr>
        <w:t>” or “</w:t>
      </w:r>
      <w:r>
        <w:rPr>
          <w:rFonts w:ascii="Times New Roman" w:hAnsi="Times New Roman"/>
          <w:b/>
          <w:i/>
          <w:color w:val="000000"/>
          <w:sz w:val="20"/>
        </w:rPr>
        <w:t>Collaboration Technology</w:t>
      </w:r>
      <w:r>
        <w:rPr>
          <w:rFonts w:ascii="Times New Roman" w:hAnsi="Times New Roman"/>
          <w:color w:val="000000"/>
          <w:sz w:val="20"/>
        </w:rPr>
        <w:t>” means, collectively, AstraZeneca Collaboration Intellectual Property, Ionis Collaboration Intellectual Property and Jointly-Owned Collaboration Technology.  For the avoidance of doubt, [***].</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Collaboration Products</w:t>
      </w:r>
      <w:r>
        <w:rPr>
          <w:rFonts w:ascii="Times New Roman" w:hAnsi="Times New Roman"/>
          <w:color w:val="000000"/>
          <w:sz w:val="20"/>
        </w:rPr>
        <w:t xml:space="preserve">” has the meaning set forth in the </w:t>
      </w:r>
      <w:r>
        <w:rPr>
          <w:rFonts w:ascii="Times New Roman" w:hAnsi="Times New Roman"/>
          <w:color w:val="000000"/>
          <w:sz w:val="20"/>
          <w:u w:val="single"/>
        </w:rPr>
        <w:t>Recitals</w:t>
      </w:r>
      <w:r>
        <w:rPr>
          <w:rFonts w:ascii="Times New Roman" w:hAnsi="Times New Roman"/>
          <w:color w:val="000000"/>
          <w:sz w:val="20"/>
        </w:rPr>
        <w:t xml:space="preserve"> of the Fourth Amendment.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Compound</w:t>
      </w:r>
      <w:r>
        <w:rPr>
          <w:rFonts w:ascii="Times New Roman" w:hAnsi="Times New Roman"/>
          <w:color w:val="000000"/>
          <w:sz w:val="20"/>
        </w:rPr>
        <w:t>” means (i) any ASO that is designed to bind to a Collaboration Target, where such ASO is discovered by Ionis prior to the date on which such Target becomes a High Interest Target (or, with respect to [***], the Effective Date), or in the performance of a Collaboration Plan or (ii) any [***] Compound; and in each case any salt, hydrate, solvate or pro-drug thereof.  For clarity, such ASOs will be different Compounds if they have different sequences of nucleotides, use different modified nucleotides (including a different backbone, sugar moiety or base modification), or if they employ different Conjugate Technology, such as GalNAc.</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Cooperation Plan</w:t>
      </w:r>
      <w:r>
        <w:rPr>
          <w:rFonts w:ascii="Times New Roman" w:hAnsi="Times New Roman"/>
          <w:color w:val="000000"/>
          <w:sz w:val="20"/>
        </w:rPr>
        <w:t xml:space="preserve">” has the meaning set forth in </w:t>
      </w:r>
      <w:r>
        <w:rPr>
          <w:rFonts w:ascii="Times New Roman" w:hAnsi="Times New Roman"/>
          <w:color w:val="000000"/>
          <w:sz w:val="20"/>
          <w:u w:val="single"/>
        </w:rPr>
        <w:t>Section 4.11</w:t>
      </w: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both"/>
        <w:rPr>
          <w:color w:val="000000"/>
        </w:rPr>
      </w:pPr>
      <w:r>
        <w:rPr>
          <w:color w:val="000000"/>
        </w:rPr>
        <w:t>“</w:t>
      </w:r>
      <w:r>
        <w:rPr>
          <w:rFonts w:ascii="Times New Roman" w:hAnsi="Times New Roman"/>
          <w:b/>
          <w:i/>
          <w:color w:val="000000"/>
          <w:sz w:val="20"/>
        </w:rPr>
        <w:t>Exclusive Target</w:t>
      </w:r>
      <w:r>
        <w:rPr>
          <w:rFonts w:ascii="Times New Roman" w:hAnsi="Times New Roman"/>
          <w:color w:val="000000"/>
          <w:sz w:val="20"/>
        </w:rPr>
        <w:t>” means (i) any Reserved Target, (ii) High Interest Target, (iii) any Collaboration Target, or (iv) [***].  The term “</w:t>
      </w:r>
      <w:r>
        <w:rPr>
          <w:rFonts w:ascii="Times New Roman" w:hAnsi="Times New Roman"/>
          <w:b/>
          <w:i/>
          <w:color w:val="000000"/>
          <w:sz w:val="20"/>
        </w:rPr>
        <w:t>Exclusive Targets</w:t>
      </w:r>
      <w:r>
        <w:rPr>
          <w:rFonts w:ascii="Times New Roman" w:hAnsi="Times New Roman"/>
          <w:color w:val="000000"/>
          <w:sz w:val="20"/>
        </w:rPr>
        <w:t>” means collectively the Reserved Targets, High Interest Targets, Collaboration Targets, and [***].</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Fourth Amendment</w:t>
      </w:r>
      <w:r>
        <w:rPr>
          <w:rFonts w:ascii="Times New Roman" w:hAnsi="Times New Roman"/>
          <w:color w:val="000000"/>
          <w:sz w:val="20"/>
        </w:rPr>
        <w:t xml:space="preserve">” has the meaning set forth in the </w:t>
      </w:r>
      <w:r>
        <w:rPr>
          <w:rFonts w:ascii="Times New Roman" w:hAnsi="Times New Roman"/>
          <w:color w:val="000000"/>
          <w:sz w:val="20"/>
          <w:u w:val="single"/>
        </w:rPr>
        <w:t>Preamble</w:t>
      </w:r>
      <w:r>
        <w:rPr>
          <w:rFonts w:ascii="Times New Roman" w:hAnsi="Times New Roman"/>
          <w:color w:val="000000"/>
          <w:sz w:val="20"/>
        </w:rPr>
        <w:t xml:space="preserve"> of the Fourth Amendment.</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Fourth Amendment Effective Date</w:t>
      </w:r>
      <w:r>
        <w:rPr>
          <w:rFonts w:ascii="Times New Roman" w:hAnsi="Times New Roman"/>
          <w:color w:val="000000"/>
          <w:sz w:val="20"/>
        </w:rPr>
        <w:t xml:space="preserve">” has the meaning set forth in the </w:t>
      </w:r>
      <w:r>
        <w:rPr>
          <w:rFonts w:ascii="Times New Roman" w:hAnsi="Times New Roman"/>
          <w:color w:val="000000"/>
          <w:sz w:val="20"/>
          <w:u w:val="single"/>
        </w:rPr>
        <w:t>Preamble</w:t>
      </w:r>
      <w:r>
        <w:rPr>
          <w:rFonts w:ascii="Times New Roman" w:hAnsi="Times New Roman"/>
          <w:color w:val="000000"/>
          <w:sz w:val="20"/>
        </w:rPr>
        <w:t xml:space="preserve"> of the Fourth Amendment.</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Fourth Amendment Products</w:t>
      </w:r>
      <w:r>
        <w:rPr>
          <w:rFonts w:ascii="Times New Roman" w:hAnsi="Times New Roman"/>
          <w:color w:val="000000"/>
          <w:sz w:val="20"/>
        </w:rPr>
        <w:t>” means the APOL1 Products, [***] Products, [***] Products, or PNPLA3 Products, collectively or individually, as the context requires.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Ionis</w:t>
      </w:r>
      <w:r>
        <w:rPr>
          <w:rFonts w:ascii="Times New Roman" w:hAnsi="Times New Roman"/>
          <w:color w:val="000000"/>
          <w:sz w:val="20"/>
        </w:rPr>
        <w:t xml:space="preserve">” has the meaning set forth in the </w:t>
      </w:r>
      <w:r>
        <w:rPr>
          <w:rFonts w:ascii="Times New Roman" w:hAnsi="Times New Roman"/>
          <w:color w:val="000000"/>
          <w:sz w:val="20"/>
          <w:u w:val="single"/>
        </w:rPr>
        <w:t>Preamble</w:t>
      </w:r>
      <w:r>
        <w:rPr>
          <w:rFonts w:ascii="Times New Roman" w:hAnsi="Times New Roman"/>
          <w:color w:val="000000"/>
          <w:sz w:val="20"/>
        </w:rPr>
        <w:t xml:space="preserve"> of the Fourth Amendment.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Ionis Collaboration Intellectual Property</w:t>
      </w:r>
      <w:r>
        <w:rPr>
          <w:rFonts w:ascii="Times New Roman" w:hAnsi="Times New Roman"/>
          <w:color w:val="000000"/>
          <w:sz w:val="20"/>
        </w:rPr>
        <w:t>” means any Know-How and Patent Rights that were discovered, developed, invented or created by or on behalf of Ionis in connection with (a) the performance of any Collaboration Plan and/or (b) if, following the Fourth Amendment Effective Date and during the Agreement Term, the Parties mutually agree, in writing, upon a Cooperation Plan, the performance of activities under such plan, in each case ((a) and (b)) including Ionis’ interest in any Jointly-Owned Collaboration Technology and excluding any Ionis Product-Specific Patents.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Ionis Field</w:t>
      </w:r>
      <w:r>
        <w:rPr>
          <w:rFonts w:ascii="Times New Roman" w:hAnsi="Times New Roman"/>
          <w:color w:val="000000"/>
          <w:sz w:val="20"/>
        </w:rPr>
        <w:t>” means [***].</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Jointly-Owned Collaboration Know-How</w:t>
      </w:r>
      <w:r>
        <w:rPr>
          <w:rFonts w:ascii="Times New Roman" w:hAnsi="Times New Roman"/>
          <w:color w:val="000000"/>
          <w:sz w:val="20"/>
        </w:rPr>
        <w:t>” means Know-How discovered, developed, invented or created jointly by or on behalf of both Parties or their respective Affiliates or Third Parties acting on their behalf in connection with (a) the performance of any Collaboration Plan and/or (b) if, following the Fourth Amendment Effective Date and during the Agreement Term, the Parties mutually agree, in writing, upon a Cooperation Plan, the performance of activities under such plan, in each case ((a) and (b)) that is necessary or useful to Develop, Manufacture or Commercialize a Product in the Field.</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Knowledge</w:t>
      </w:r>
      <w:r>
        <w:rPr>
          <w:rFonts w:ascii="Times New Roman" w:hAnsi="Times New Roman"/>
          <w:color w:val="000000"/>
          <w:sz w:val="20"/>
        </w:rPr>
        <w:t xml:space="preserve">” means the good faith, actual understanding of the facts and information by a Party’s or any of its Affiliate’s executive officers and their attorneys employed in their Legal Department and Patent Department as of the Effective Date, a Bring-Down Date or the Fourth Amendment Effective Date (as applicable); </w:t>
      </w:r>
      <w:r>
        <w:rPr>
          <w:rFonts w:ascii="Times New Roman" w:hAnsi="Times New Roman"/>
          <w:i/>
          <w:color w:val="000000"/>
          <w:sz w:val="20"/>
        </w:rPr>
        <w:t>provided that</w:t>
      </w:r>
      <w:r>
        <w:rPr>
          <w:rFonts w:ascii="Times New Roman" w:hAnsi="Times New Roman"/>
          <w:color w:val="000000"/>
          <w:sz w:val="20"/>
        </w:rPr>
        <w:t>, with respect to information regarding the status of Patent Rights or other intellectual property rights, “</w:t>
      </w:r>
      <w:r>
        <w:rPr>
          <w:rFonts w:ascii="Times New Roman" w:hAnsi="Times New Roman"/>
          <w:i/>
          <w:color w:val="000000"/>
          <w:sz w:val="20"/>
        </w:rPr>
        <w:t>Knowledge</w:t>
      </w:r>
      <w:r>
        <w:rPr>
          <w:rFonts w:ascii="Times New Roman" w:hAnsi="Times New Roman"/>
          <w:color w:val="000000"/>
          <w:sz w:val="20"/>
        </w:rPr>
        <w:t>” means the good faith, actual understanding of the facts and information by a Party’s or any of its Affiliate’s executive officers and their attorneys employed in their Legal Department and Patent Department as of the Effective Date, a Bring-Down Date or the Fourth Amendment Effective Date (as applicable) after performing a diligent investigation with respect to such facts and information as is customary in the conduct of its business with respect to such Patent Rights or other intellectual property rights (and not, for clarity, a diligent investigation solely in connection with this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both"/>
        <w:rPr>
          <w:color w:val="000000"/>
        </w:rPr>
      </w:pPr>
      <w:r>
        <w:rPr>
          <w:color w:val="000000"/>
        </w:rPr>
        <w:t>“</w:t>
      </w:r>
      <w:r>
        <w:rPr>
          <w:rFonts w:ascii="Times New Roman" w:hAnsi="Times New Roman"/>
          <w:b/>
          <w:i/>
          <w:color w:val="000000"/>
          <w:sz w:val="20"/>
        </w:rPr>
        <w:t>Licensed Program</w:t>
      </w:r>
      <w:r>
        <w:rPr>
          <w:rFonts w:ascii="Times New Roman" w:hAnsi="Times New Roman"/>
          <w:color w:val="000000"/>
          <w:sz w:val="20"/>
        </w:rPr>
        <w:t xml:space="preserve">” means (i) a Collaboration Program following exercise of the applicable Collaboration Program License Right or (ii) the [***] Licensed Program; </w:t>
      </w:r>
      <w:r>
        <w:rPr>
          <w:rFonts w:ascii="Times New Roman" w:hAnsi="Times New Roman"/>
          <w:i/>
          <w:color w:val="000000"/>
          <w:sz w:val="20"/>
        </w:rPr>
        <w:t xml:space="preserve">provided that </w:t>
      </w:r>
      <w:r>
        <w:rPr>
          <w:rFonts w:ascii="Times New Roman" w:hAnsi="Times New Roman"/>
          <w:color w:val="000000"/>
          <w:sz w:val="20"/>
        </w:rPr>
        <w:t xml:space="preserve">in all cases ((i) and (ii)), for so long as the applicable license under </w:t>
      </w:r>
      <w:r>
        <w:rPr>
          <w:rFonts w:ascii="Times New Roman" w:hAnsi="Times New Roman"/>
          <w:color w:val="000000"/>
          <w:sz w:val="20"/>
          <w:u w:val="single"/>
        </w:rPr>
        <w:t>Section 4.1.1</w:t>
      </w:r>
      <w:r>
        <w:rPr>
          <w:rFonts w:ascii="Times New Roman" w:hAnsi="Times New Roman"/>
          <w:color w:val="000000"/>
          <w:sz w:val="20"/>
        </w:rPr>
        <w:t xml:space="preserve"> for such program is effective.</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Minimum Third Party Payments</w:t>
      </w:r>
      <w:r>
        <w:rPr>
          <w:rFonts w:ascii="Times New Roman" w:hAnsi="Times New Roman"/>
          <w:color w:val="000000"/>
          <w:sz w:val="20"/>
        </w:rPr>
        <w:t>” means [***].</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w:t>
      </w:r>
      <w:r>
        <w:rPr>
          <w:rFonts w:ascii="Times New Roman" w:hAnsi="Times New Roman"/>
          <w:color w:val="000000"/>
          <w:sz w:val="20"/>
        </w:rPr>
        <w:t>” means [***].</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Compound</w:t>
      </w:r>
      <w:r>
        <w:rPr>
          <w:rFonts w:ascii="Times New Roman" w:hAnsi="Times New Roman"/>
          <w:color w:val="000000"/>
          <w:sz w:val="20"/>
        </w:rPr>
        <w:t xml:space="preserve">” means any ASO that is designed to bind to [***], where such ASO was discovered by Ionis prior to the Fourth Amendment Effective Date, including [***] which is specifically described in </w:t>
      </w:r>
      <w:r>
        <w:rPr>
          <w:rFonts w:ascii="Times New Roman" w:hAnsi="Times New Roman"/>
          <w:smallCaps/>
          <w:color w:val="000000"/>
          <w:sz w:val="20"/>
          <w:u w:val="single"/>
        </w:rPr>
        <w:t>Appendix</w:t>
      </w:r>
      <w:r>
        <w:rPr>
          <w:rFonts w:ascii="Times New Roman" w:hAnsi="Times New Roman"/>
          <w:color w:val="000000"/>
          <w:sz w:val="20"/>
          <w:u w:val="single"/>
        </w:rPr>
        <w:t xml:space="preserve"> 8A</w:t>
      </w:r>
      <w:r>
        <w:rPr>
          <w:rFonts w:ascii="Times New Roman" w:hAnsi="Times New Roman"/>
          <w:color w:val="000000"/>
          <w:sz w:val="20"/>
        </w:rPr>
        <w:t xml:space="preserve"> (the “</w:t>
      </w:r>
      <w:r>
        <w:rPr>
          <w:rFonts w:ascii="Times New Roman" w:hAnsi="Times New Roman"/>
          <w:b/>
          <w:i/>
          <w:color w:val="000000"/>
          <w:sz w:val="20"/>
        </w:rPr>
        <w:t>Lead [***] Compound</w:t>
      </w:r>
      <w:r>
        <w:rPr>
          <w:rFonts w:ascii="Times New Roman" w:hAnsi="Times New Roman"/>
          <w:color w:val="000000"/>
          <w:sz w:val="20"/>
        </w:rPr>
        <w:t xml:space="preserve">”) and [***] which is specifically described in </w:t>
      </w:r>
      <w:r>
        <w:rPr>
          <w:rFonts w:ascii="Times New Roman" w:hAnsi="Times New Roman"/>
          <w:smallCaps/>
          <w:color w:val="000000"/>
          <w:sz w:val="20"/>
          <w:u w:val="single"/>
        </w:rPr>
        <w:t>Appendix</w:t>
      </w:r>
      <w:r>
        <w:rPr>
          <w:rFonts w:ascii="Times New Roman" w:hAnsi="Times New Roman"/>
          <w:color w:val="000000"/>
          <w:sz w:val="20"/>
          <w:u w:val="single"/>
        </w:rPr>
        <w:t xml:space="preserve"> 8B</w:t>
      </w:r>
      <w:r>
        <w:rPr>
          <w:rFonts w:ascii="Times New Roman" w:hAnsi="Times New Roman"/>
          <w:color w:val="000000"/>
          <w:sz w:val="20"/>
        </w:rPr>
        <w:t xml:space="preserve"> (the “</w:t>
      </w:r>
      <w:r>
        <w:rPr>
          <w:rFonts w:ascii="Times New Roman" w:hAnsi="Times New Roman"/>
          <w:b/>
          <w:i/>
          <w:color w:val="000000"/>
          <w:sz w:val="20"/>
        </w:rPr>
        <w:t>Secondary [***] Compound</w:t>
      </w:r>
      <w:r>
        <w:rPr>
          <w:rFonts w:ascii="Times New Roman" w:hAnsi="Times New Roman"/>
          <w:color w:val="000000"/>
          <w:sz w:val="20"/>
        </w:rPr>
        <w:t>”).</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Licensed Program</w:t>
      </w:r>
      <w:r>
        <w:rPr>
          <w:rFonts w:ascii="Times New Roman" w:hAnsi="Times New Roman"/>
          <w:color w:val="000000"/>
          <w:sz w:val="20"/>
        </w:rPr>
        <w:t>” means the program for [***] Products under the Agreement.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Product</w:t>
      </w:r>
      <w:r>
        <w:rPr>
          <w:rFonts w:ascii="Times New Roman" w:hAnsi="Times New Roman"/>
          <w:color w:val="000000"/>
          <w:sz w:val="20"/>
        </w:rPr>
        <w:t>” means a Product that comprises a Compound designed to bind to [***].</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Other Joint Technology</w:t>
      </w:r>
      <w:r>
        <w:rPr>
          <w:rFonts w:ascii="Times New Roman" w:hAnsi="Times New Roman"/>
          <w:color w:val="000000"/>
          <w:sz w:val="20"/>
        </w:rPr>
        <w:t xml:space="preserve">” has the meaning set forth in </w:t>
      </w:r>
      <w:r>
        <w:rPr>
          <w:rFonts w:ascii="Times New Roman" w:hAnsi="Times New Roman"/>
          <w:color w:val="000000"/>
          <w:sz w:val="20"/>
          <w:u w:val="single"/>
        </w:rPr>
        <w:t>Section 7.1.4</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w:t>
      </w:r>
      <w:r>
        <w:rPr>
          <w:rFonts w:ascii="Times New Roman" w:hAnsi="Times New Roman"/>
          <w:color w:val="000000"/>
          <w:sz w:val="20"/>
        </w:rPr>
        <w:t>” means [***].</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Letter Agreement</w:t>
      </w:r>
      <w:r>
        <w:rPr>
          <w:rFonts w:ascii="Times New Roman" w:hAnsi="Times New Roman"/>
          <w:color w:val="000000"/>
          <w:sz w:val="20"/>
        </w:rPr>
        <w:t xml:space="preserve">” has the meaning set forth in the </w:t>
      </w:r>
      <w:r>
        <w:rPr>
          <w:rFonts w:ascii="Times New Roman" w:hAnsi="Times New Roman"/>
          <w:color w:val="000000"/>
          <w:sz w:val="20"/>
          <w:u w:val="single"/>
        </w:rPr>
        <w:t>Preamble</w:t>
      </w:r>
      <w:r>
        <w:rPr>
          <w:rFonts w:ascii="Times New Roman" w:hAnsi="Times New Roman"/>
          <w:color w:val="000000"/>
          <w:sz w:val="20"/>
        </w:rPr>
        <w:t xml:space="preserve"> of the Fourth Amendment.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 Product</w:t>
      </w:r>
      <w:r>
        <w:rPr>
          <w:rFonts w:ascii="Times New Roman" w:hAnsi="Times New Roman"/>
          <w:color w:val="000000"/>
          <w:sz w:val="20"/>
        </w:rPr>
        <w:t xml:space="preserve">” has the meaning set forth in the </w:t>
      </w:r>
      <w:r>
        <w:rPr>
          <w:rFonts w:ascii="Times New Roman" w:hAnsi="Times New Roman"/>
          <w:color w:val="000000"/>
          <w:sz w:val="20"/>
          <w:u w:val="single"/>
        </w:rPr>
        <w:t>Recitals</w:t>
      </w:r>
      <w:r>
        <w:rPr>
          <w:rFonts w:ascii="Times New Roman" w:hAnsi="Times New Roman"/>
          <w:color w:val="000000"/>
          <w:sz w:val="20"/>
        </w:rPr>
        <w:t xml:space="preserve"> of the Fourth Amendment.</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PNPLA3</w:t>
      </w:r>
      <w:r>
        <w:rPr>
          <w:rFonts w:ascii="Times New Roman" w:hAnsi="Times New Roman"/>
          <w:color w:val="000000"/>
          <w:sz w:val="20"/>
        </w:rPr>
        <w:t>” means the mRNA or pre-RNA of the human patatin like phospholipase domain containing 3 gene (NCBI Gene ID: 80339; Ensembl Gene ID: ENSG00000100344), including any alternative splice variants, mutants, polymorphisms or fragments.</w:t>
      </w:r>
    </w:p>
    <w:p>
      <w:pPr>
        <w:pStyle w:val="TextBody"/>
        <w:bidi w:val="0"/>
        <w:spacing w:before="0" w:after="0"/>
        <w:jc w:val="both"/>
        <w:rPr/>
      </w:pPr>
      <w:r>
        <w:rPr/>
      </w:r>
    </w:p>
    <w:p>
      <w:pPr>
        <w:pStyle w:val="TextBody"/>
        <w:bidi w:val="0"/>
        <w:spacing w:before="0" w:after="0"/>
        <w:jc w:val="both"/>
        <w:rPr>
          <w:color w:val="000000"/>
        </w:rPr>
      </w:pPr>
      <w:r>
        <w:rPr>
          <w:color w:val="000000"/>
        </w:rPr>
        <w:t>“</w:t>
      </w:r>
      <w:r>
        <w:rPr>
          <w:rFonts w:ascii="Times New Roman" w:hAnsi="Times New Roman"/>
          <w:b/>
          <w:i/>
          <w:color w:val="000000"/>
          <w:sz w:val="20"/>
        </w:rPr>
        <w:t>PNPLA3 Product</w:t>
      </w:r>
      <w:r>
        <w:rPr>
          <w:rFonts w:ascii="Times New Roman" w:hAnsi="Times New Roman"/>
          <w:color w:val="000000"/>
          <w:sz w:val="20"/>
        </w:rPr>
        <w:t xml:space="preserve">” has the meaning set forth in the </w:t>
      </w:r>
      <w:r>
        <w:rPr>
          <w:rFonts w:ascii="Times New Roman" w:hAnsi="Times New Roman"/>
          <w:color w:val="000000"/>
          <w:sz w:val="20"/>
          <w:u w:val="single"/>
        </w:rPr>
        <w:t>Recitals</w:t>
      </w:r>
      <w:r>
        <w:rPr>
          <w:rFonts w:ascii="Times New Roman" w:hAnsi="Times New Roman"/>
          <w:color w:val="000000"/>
          <w:sz w:val="20"/>
        </w:rPr>
        <w:t xml:space="preserve"> of the Fourth Amendment.</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4A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Core Technology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0"/>
        </w:rPr>
        <w:t>(</w:t>
      </w:r>
      <w:r>
        <w:rPr>
          <w:rFonts w:ascii="Times New Roman" w:hAnsi="Times New Roman"/>
          <w:b/>
          <w:smallCaps/>
          <w:color w:val="000000"/>
          <w:sz w:val="20"/>
        </w:rPr>
        <w:t xml:space="preserve">With Respect to the Lead </w:t>
      </w:r>
      <w:r>
        <w:rPr>
          <w:rFonts w:ascii="Times New Roman" w:hAnsi="Times New Roman"/>
          <w:b/>
          <w:color w:val="000000"/>
          <w:sz w:val="20"/>
        </w:rPr>
        <w:t>[***]</w:t>
      </w:r>
      <w:r>
        <w:rPr>
          <w:rFonts w:ascii="Times New Roman" w:hAnsi="Times New Roman"/>
          <w:b/>
          <w:smallCaps/>
          <w:color w:val="000000"/>
          <w:sz w:val="24"/>
        </w:rPr>
        <w:t xml:space="preserve"> </w:t>
      </w:r>
      <w:r>
        <w:rPr>
          <w:rFonts w:ascii="Times New Roman" w:hAnsi="Times New Roman"/>
          <w:b/>
          <w:smallCaps/>
          <w:color w:val="000000"/>
          <w:sz w:val="20"/>
        </w:rPr>
        <w:t xml:space="preserve">Compound and the Secondary </w:t>
      </w:r>
      <w:r>
        <w:rPr>
          <w:rFonts w:ascii="Times New Roman" w:hAnsi="Times New Roman"/>
          <w:b/>
          <w:color w:val="000000"/>
          <w:sz w:val="20"/>
        </w:rPr>
        <w:t>[***]</w:t>
      </w:r>
      <w:r>
        <w:rPr>
          <w:rFonts w:ascii="Times New Roman" w:hAnsi="Times New Roman"/>
          <w:b/>
          <w:smallCaps/>
          <w:color w:val="000000"/>
          <w:sz w:val="24"/>
        </w:rPr>
        <w:t xml:space="preserve"> </w:t>
      </w:r>
      <w:r>
        <w:rPr>
          <w:rFonts w:ascii="Times New Roman" w:hAnsi="Times New Roman"/>
          <w:b/>
          <w:smallCaps/>
          <w:color w:val="000000"/>
          <w:sz w:val="20"/>
        </w:rPr>
        <w:t>Compound</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5A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Manufacturing and Analytical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w:t>
      </w:r>
      <w:r>
        <w:rPr>
          <w:rFonts w:ascii="Times New Roman" w:hAnsi="Times New Roman"/>
          <w:b/>
          <w:smallCaps/>
          <w:color w:val="000000"/>
          <w:sz w:val="20"/>
        </w:rPr>
        <w:t xml:space="preserve">With Respect to the Lead </w:t>
      </w:r>
      <w:r>
        <w:rPr>
          <w:rFonts w:ascii="Times New Roman" w:hAnsi="Times New Roman"/>
          <w:b/>
          <w:color w:val="000000"/>
          <w:sz w:val="20"/>
        </w:rPr>
        <w:t>[***]</w:t>
      </w:r>
      <w:r>
        <w:rPr>
          <w:rFonts w:ascii="Times New Roman" w:hAnsi="Times New Roman"/>
          <w:smallCaps/>
          <w:color w:val="000000"/>
          <w:sz w:val="24"/>
        </w:rPr>
        <w:t xml:space="preserve"> </w:t>
      </w:r>
      <w:r>
        <w:rPr>
          <w:rFonts w:ascii="Times New Roman" w:hAnsi="Times New Roman"/>
          <w:b/>
          <w:smallCaps/>
          <w:color w:val="000000"/>
          <w:sz w:val="20"/>
        </w:rPr>
        <w:t xml:space="preserve">Compound and the Secondary </w:t>
      </w:r>
      <w:r>
        <w:rPr>
          <w:rFonts w:ascii="Times New Roman" w:hAnsi="Times New Roman"/>
          <w:color w:val="000000"/>
          <w:sz w:val="20"/>
        </w:rPr>
        <w:t>[***]</w:t>
      </w:r>
      <w:r>
        <w:rPr>
          <w:rFonts w:ascii="Times New Roman" w:hAnsi="Times New Roman"/>
          <w:smallCaps/>
          <w:color w:val="000000"/>
          <w:sz w:val="24"/>
        </w:rPr>
        <w:t xml:space="preserve"> </w:t>
      </w:r>
      <w:r>
        <w:rPr>
          <w:rFonts w:ascii="Times New Roman" w:hAnsi="Times New Roman"/>
          <w:b/>
          <w:smallCaps/>
          <w:color w:val="000000"/>
          <w:sz w:val="20"/>
        </w:rPr>
        <w:t>Compound</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6A</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Product-Specific Patents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0"/>
        </w:rPr>
        <w:t>(</w:t>
      </w:r>
      <w:r>
        <w:rPr>
          <w:rFonts w:ascii="Times New Roman" w:hAnsi="Times New Roman"/>
          <w:b/>
          <w:smallCaps/>
          <w:color w:val="000000"/>
          <w:sz w:val="20"/>
        </w:rPr>
        <w:t xml:space="preserve">With Respect to the </w:t>
      </w:r>
      <w:r>
        <w:rPr>
          <w:rFonts w:ascii="Times New Roman" w:hAnsi="Times New Roman"/>
          <w:b/>
          <w:color w:val="000000"/>
          <w:sz w:val="20"/>
        </w:rPr>
        <w:t>[***]</w:t>
      </w:r>
      <w:r>
        <w:rPr>
          <w:rFonts w:ascii="Times New Roman" w:hAnsi="Times New Roman"/>
          <w:b/>
          <w:smallCaps/>
          <w:color w:val="000000"/>
          <w:sz w:val="24"/>
        </w:rPr>
        <w:t xml:space="preserve"> </w:t>
      </w:r>
      <w:r>
        <w:rPr>
          <w:rFonts w:ascii="Times New Roman" w:hAnsi="Times New Roman"/>
          <w:b/>
          <w:smallCaps/>
          <w:color w:val="000000"/>
          <w:sz w:val="20"/>
        </w:rPr>
        <w:t>Products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jc w:val="center"/>
        <w:rPr>
          <w:rFonts w:ascii="Times New Roman" w:hAnsi="Times New Roman"/>
          <w:color w:val="000000"/>
          <w:sz w:val="20"/>
        </w:rPr>
      </w:pPr>
      <w:r>
        <w:rPr>
          <w:rFonts w:ascii="Times New Roman" w:hAnsi="Times New Roman"/>
          <w:color w:val="000000"/>
          <w:sz w:val="20"/>
        </w:rPr>
        <w:t>[***]</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7A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Prior Agreements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8A</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 xml:space="preserve">Lead </w:t>
      </w:r>
      <w:r>
        <w:rPr>
          <w:rFonts w:ascii="Times New Roman" w:hAnsi="Times New Roman"/>
          <w:color w:val="000000"/>
          <w:sz w:val="20"/>
        </w:rPr>
        <w:t xml:space="preserve">[***] </w:t>
      </w:r>
      <w:r>
        <w:rPr>
          <w:rFonts w:ascii="Times New Roman" w:hAnsi="Times New Roman"/>
          <w:b/>
          <w:color w:val="000000"/>
          <w:sz w:val="20"/>
        </w:rPr>
        <w:t>Compound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(Also known as [***]</w:t>
      </w:r>
      <w:r>
        <w:rPr>
          <w:rFonts w:ascii="Times New Roman" w:hAnsi="Times New Roman"/>
          <w:i/>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8B</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 xml:space="preserve">Secondary </w:t>
      </w:r>
      <w:r>
        <w:rPr>
          <w:rFonts w:ascii="Times New Roman" w:hAnsi="Times New Roman"/>
          <w:color w:val="000000"/>
          <w:sz w:val="20"/>
        </w:rPr>
        <w:t xml:space="preserve">[***] </w:t>
      </w:r>
      <w:r>
        <w:rPr>
          <w:rFonts w:ascii="Times New Roman" w:hAnsi="Times New Roman"/>
          <w:b/>
          <w:color w:val="000000"/>
          <w:sz w:val="20"/>
        </w:rPr>
        <w:t>Compound</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(Also known as [***]</w:t>
      </w:r>
      <w:r>
        <w:rPr>
          <w:rFonts w:ascii="Times New Roman" w:hAnsi="Times New Roman"/>
          <w:i/>
          <w:color w:val="000000"/>
          <w:sz w:val="20"/>
        </w:rPr>
        <w: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Appendix</w:t>
      </w:r>
      <w:r>
        <w:rPr>
          <w:rFonts w:ascii="Times New Roman" w:hAnsi="Times New Roman"/>
          <w:b/>
          <w:color w:val="000000"/>
          <w:sz w:val="24"/>
          <w:u w:val="single"/>
        </w:rPr>
        <w:t xml:space="preserve"> </w:t>
      </w:r>
      <w:r>
        <w:rPr>
          <w:rFonts w:ascii="Times New Roman" w:hAnsi="Times New Roman"/>
          <w:b/>
          <w:color w:val="000000"/>
          <w:sz w:val="20"/>
          <w:u w:val="single"/>
        </w:rPr>
        <w:t>9</w:t>
      </w:r>
    </w:p>
    <w:p>
      <w:pPr>
        <w:pStyle w:val="TextBody"/>
        <w:bidi w:val="0"/>
        <w:spacing w:before="0" w:after="0"/>
        <w:jc w:val="left"/>
        <w:rPr/>
      </w:pPr>
      <w:r>
        <w:rPr/>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 xml:space="preserve">Lead </w:t>
      </w:r>
      <w:r>
        <w:rPr>
          <w:rFonts w:ascii="Times New Roman" w:hAnsi="Times New Roman"/>
          <w:color w:val="000000"/>
          <w:sz w:val="20"/>
        </w:rPr>
        <w:t xml:space="preserve">[***] </w:t>
      </w:r>
      <w:r>
        <w:rPr>
          <w:rFonts w:ascii="Times New Roman" w:hAnsi="Times New Roman"/>
          <w:b/>
          <w:color w:val="000000"/>
          <w:sz w:val="20"/>
        </w:rPr>
        <w:t>Compound Technology Transfer Plan</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Schedule</w:t>
      </w:r>
      <w:r>
        <w:rPr>
          <w:rFonts w:ascii="Times New Roman" w:hAnsi="Times New Roman"/>
          <w:b/>
          <w:color w:val="000000"/>
          <w:sz w:val="24"/>
          <w:u w:val="single"/>
        </w:rPr>
        <w:t xml:space="preserve"> </w:t>
      </w:r>
      <w:r>
        <w:rPr>
          <w:rFonts w:ascii="Times New Roman" w:hAnsi="Times New Roman"/>
          <w:b/>
          <w:color w:val="000000"/>
          <w:sz w:val="20"/>
          <w:u w:val="single"/>
        </w:rPr>
        <w:t>6.4</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b/>
          <w:smallCaps/>
          <w:color w:val="000000"/>
          <w:sz w:val="20"/>
        </w:rPr>
        <w:t>Table 1a</w:t>
      </w:r>
      <w:r>
        <w:rPr>
          <w:rFonts w:ascii="Times New Roman" w:hAnsi="Times New Roman"/>
          <w:b/>
          <w:color w:val="000000"/>
          <w:sz w:val="20"/>
        </w:rPr>
        <w:t>:</w:t>
      </w:r>
      <w:r>
        <w:rPr>
          <w:rFonts w:ascii="Times New Roman" w:hAnsi="Times New Roman"/>
          <w:color w:val="000000"/>
          <w:sz w:val="24"/>
        </w:rPr>
        <w:t>          </w:t>
      </w:r>
      <w:r>
        <w:rPr>
          <w:rFonts w:ascii="Times New Roman" w:hAnsi="Times New Roman"/>
          <w:color w:val="000000"/>
          <w:sz w:val="20"/>
        </w:rPr>
        <w:t xml:space="preserve">[***] </w:t>
      </w:r>
      <w:r>
        <w:rPr>
          <w:rFonts w:ascii="Times New Roman" w:hAnsi="Times New Roman"/>
          <w:b/>
          <w:color w:val="000000"/>
          <w:sz w:val="20"/>
        </w:rPr>
        <w:t>Licensed Program Development Milestones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1" w:name="z4639b65105de45828c9ea66e0b9fe21f"/>
      <w:bookmarkStart w:id="262" w:name="z4639b65105de45828c9ea66e0b9fe21f"/>
      <w:bookmarkEnd w:id="262"/>
    </w:p>
    <w:tbl>
      <w:tblPr>
        <w:tblW w:w="6095" w:type="dxa"/>
        <w:jc w:val="left"/>
        <w:tblInd w:w="-15" w:type="dxa"/>
        <w:tblLayout w:type="fixed"/>
        <w:tblCellMar>
          <w:top w:w="28" w:type="dxa"/>
          <w:left w:w="28" w:type="dxa"/>
          <w:bottom w:w="28" w:type="dxa"/>
          <w:right w:w="28" w:type="dxa"/>
        </w:tblCellMar>
      </w:tblPr>
      <w:tblGrid>
        <w:gridCol w:w="1880"/>
        <w:gridCol w:w="1970"/>
        <w:gridCol w:w="650"/>
        <w:gridCol w:w="1595"/>
      </w:tblGrid>
      <w:tr>
        <w:trPr/>
        <w:tc>
          <w:tcPr>
            <w:tcW w:w="188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Product Milestone</w:t>
            </w:r>
          </w:p>
          <w:p>
            <w:pPr>
              <w:pStyle w:val="TableContents"/>
              <w:bidi w:val="0"/>
              <w:spacing w:before="0" w:after="0"/>
              <w:jc w:val="center"/>
              <w:rPr>
                <w:b/>
              </w:rPr>
            </w:pPr>
            <w:r>
              <w:rPr>
                <w:b/>
              </w:rPr>
              <w:t>Event</w:t>
            </w:r>
          </w:p>
        </w:tc>
        <w:tc>
          <w:tcPr>
            <w:tcW w:w="19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CVRM Agreement</w:t>
            </w:r>
          </w:p>
          <w:p>
            <w:pPr>
              <w:pStyle w:val="TableContents"/>
              <w:bidi w:val="0"/>
              <w:spacing w:before="0" w:after="0"/>
              <w:jc w:val="center"/>
              <w:rPr>
                <w:b/>
              </w:rPr>
            </w:pPr>
            <w:r>
              <w:rPr>
                <w:b/>
              </w:rPr>
              <w:t>Milestone Payment</w:t>
            </w:r>
          </w:p>
          <w:p>
            <w:pPr>
              <w:pStyle w:val="TableContents"/>
              <w:bidi w:val="0"/>
              <w:spacing w:before="0" w:after="0"/>
              <w:jc w:val="center"/>
              <w:rPr>
                <w:b/>
              </w:rPr>
            </w:pPr>
            <w:r>
              <w:rPr>
                <w:b/>
              </w:rPr>
              <w:t>(M)</w:t>
            </w:r>
          </w:p>
        </w:tc>
        <w:tc>
          <w:tcPr>
            <w:tcW w:w="6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w:t>
            </w:r>
          </w:p>
        </w:tc>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b/>
              </w:rPr>
            </w:pPr>
            <w:r>
              <w:rPr>
                <w:b/>
              </w:rPr>
              <w:t>Total Milestone</w:t>
            </w:r>
          </w:p>
          <w:p>
            <w:pPr>
              <w:pStyle w:val="TableContents"/>
              <w:bidi w:val="0"/>
              <w:spacing w:before="0" w:after="0"/>
              <w:jc w:val="center"/>
              <w:rPr>
                <w:b/>
              </w:rPr>
            </w:pPr>
            <w:r>
              <w:rPr>
                <w:b/>
              </w:rPr>
              <w:t>Payment (M)</w:t>
            </w:r>
          </w:p>
        </w:tc>
      </w:tr>
      <w:tr>
        <w:trPr/>
        <w:tc>
          <w:tcPr>
            <w:tcW w:w="18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b/>
              </w:rPr>
            </w:pPr>
            <w:r>
              <w:rPr>
                <w:b/>
              </w:rPr>
              <w:t>$[***]</w:t>
            </w:r>
          </w:p>
        </w:tc>
      </w:tr>
      <w:tr>
        <w:trPr/>
        <w:tc>
          <w:tcPr>
            <w:tcW w:w="188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97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650"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pPr>
            <w:r>
              <w:rPr/>
              <w:t>$[***]</w:t>
            </w:r>
          </w:p>
        </w:tc>
        <w:tc>
          <w:tcPr>
            <w:tcW w:w="1595" w:type="dxa"/>
            <w:tcBorders>
              <w:left w:val="single" w:sz="12" w:space="0" w:color="000000"/>
              <w:bottom w:val="single" w:sz="12" w:space="0" w:color="000000"/>
              <w:right w:val="single" w:sz="12" w:space="0" w:color="000000"/>
            </w:tcBorders>
            <w:shd w:fill="CCEEFF" w:val="clear"/>
            <w:tcMar>
              <w:top w:w="0" w:type="dxa"/>
            </w:tcMar>
            <w:vAlign w:val="center"/>
          </w:tcPr>
          <w:p>
            <w:pPr>
              <w:pStyle w:val="TableContents"/>
              <w:bidi w:val="0"/>
              <w:spacing w:before="0" w:after="0"/>
              <w:jc w:val="center"/>
              <w:rPr>
                <w:b/>
              </w:rPr>
            </w:pPr>
            <w:r>
              <w:rPr>
                <w:b/>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Schedule</w:t>
      </w:r>
      <w:r>
        <w:rPr>
          <w:rFonts w:ascii="Times New Roman" w:hAnsi="Times New Roman"/>
          <w:b/>
          <w:color w:val="000000"/>
          <w:sz w:val="24"/>
          <w:u w:val="single"/>
        </w:rPr>
        <w:t xml:space="preserve"> </w:t>
      </w:r>
      <w:r>
        <w:rPr>
          <w:rFonts w:ascii="Times New Roman" w:hAnsi="Times New Roman"/>
          <w:b/>
          <w:color w:val="000000"/>
          <w:sz w:val="20"/>
          <w:u w:val="single"/>
        </w:rPr>
        <w:t>6.7.1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4"/>
        </w:rPr>
      </w:pPr>
      <w:r>
        <w:rPr>
          <w:rFonts w:ascii="Times New Roman" w:hAnsi="Times New Roman"/>
          <w:b/>
          <w:smallCaps/>
          <w:color w:val="000000"/>
          <w:sz w:val="20"/>
        </w:rPr>
        <w:t>Table</w:t>
      </w:r>
      <w:r>
        <w:rPr>
          <w:rFonts w:ascii="Times New Roman" w:hAnsi="Times New Roman"/>
          <w:b/>
          <w:color w:val="000000"/>
          <w:sz w:val="24"/>
        </w:rPr>
        <w:t xml:space="preserve"> </w:t>
      </w:r>
      <w:r>
        <w:rPr>
          <w:rFonts w:ascii="Times New Roman" w:hAnsi="Times New Roman"/>
          <w:b/>
          <w:color w:val="000000"/>
          <w:sz w:val="20"/>
        </w:rPr>
        <w:t>3</w:t>
      </w:r>
      <w:r>
        <w:rPr>
          <w:rFonts w:ascii="Times New Roman" w:hAnsi="Times New Roman"/>
          <w:b/>
          <w:smallCaps/>
          <w:color w:val="000000"/>
          <w:sz w:val="20"/>
        </w:rPr>
        <w:t>a</w:t>
      </w:r>
      <w:r>
        <w:rPr>
          <w:rFonts w:ascii="Times New Roman" w:hAnsi="Times New Roman"/>
          <w:b/>
          <w:color w:val="000000"/>
          <w:sz w:val="20"/>
        </w:rPr>
        <w:t>: [***] Licensed Program Royalties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3" w:name="z682497ddbc444f6d9afabdd4edf365a3"/>
      <w:bookmarkStart w:id="264" w:name="z682497ddbc444f6d9afabdd4edf365a3"/>
      <w:bookmarkEnd w:id="264"/>
    </w:p>
    <w:tbl>
      <w:tblPr>
        <w:tblW w:w="10025" w:type="dxa"/>
        <w:jc w:val="left"/>
        <w:tblInd w:w="-15" w:type="dxa"/>
        <w:tblLayout w:type="fixed"/>
        <w:tblCellMar>
          <w:top w:w="28" w:type="dxa"/>
          <w:left w:w="28" w:type="dxa"/>
          <w:bottom w:w="28" w:type="dxa"/>
          <w:right w:w="0" w:type="dxa"/>
        </w:tblCellMar>
      </w:tblPr>
      <w:tblGrid>
        <w:gridCol w:w="60"/>
        <w:gridCol w:w="6665"/>
        <w:gridCol w:w="1355"/>
        <w:gridCol w:w="530"/>
        <w:gridCol w:w="141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666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pPr>
            <w:r>
              <w:rPr/>
              <w:t xml:space="preserve">Annual Worldwide Net Sales </w:t>
            </w:r>
          </w:p>
          <w:p>
            <w:pPr>
              <w:pStyle w:val="TableContents"/>
              <w:bidi w:val="0"/>
              <w:spacing w:before="0" w:after="0"/>
              <w:jc w:val="center"/>
              <w:rPr/>
            </w:pPr>
            <w:r>
              <w:rPr/>
              <w:t xml:space="preserve">of Products from a Licensed </w:t>
            </w:r>
          </w:p>
          <w:p>
            <w:pPr>
              <w:pStyle w:val="TableContents"/>
              <w:bidi w:val="0"/>
              <w:spacing w:before="0" w:after="0"/>
              <w:jc w:val="center"/>
              <w:rPr/>
            </w:pPr>
            <w:r>
              <w:rPr/>
              <w:t>Program</w:t>
            </w:r>
          </w:p>
        </w:tc>
        <w:tc>
          <w:tcPr>
            <w:tcW w:w="135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CVRM</w:t>
            </w:r>
          </w:p>
          <w:p>
            <w:pPr>
              <w:pStyle w:val="TableContents"/>
              <w:bidi w:val="0"/>
              <w:spacing w:before="0" w:after="0"/>
              <w:jc w:val="center"/>
              <w:rPr>
                <w:b/>
              </w:rPr>
            </w:pPr>
            <w:r>
              <w:rPr>
                <w:b/>
              </w:rPr>
              <w:t>Agreement</w:t>
            </w:r>
          </w:p>
          <w:p>
            <w:pPr>
              <w:pStyle w:val="TableContents"/>
              <w:bidi w:val="0"/>
              <w:spacing w:before="0" w:after="0"/>
              <w:jc w:val="center"/>
              <w:rPr>
                <w:b/>
              </w:rPr>
            </w:pPr>
            <w:r>
              <w:rPr>
                <w:b/>
              </w:rPr>
              <w:t>Royalty Rate</w:t>
            </w:r>
          </w:p>
        </w:tc>
        <w:tc>
          <w:tcPr>
            <w:tcW w:w="53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w:t>
            </w:r>
          </w:p>
        </w:tc>
        <w:tc>
          <w:tcPr>
            <w:tcW w:w="1415"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Total Royalty</w:t>
            </w:r>
          </w:p>
          <w:p>
            <w:pPr>
              <w:pStyle w:val="TableContents"/>
              <w:bidi w:val="0"/>
              <w:spacing w:before="0" w:after="0"/>
              <w:jc w:val="center"/>
              <w:rPr>
                <w:b/>
              </w:rPr>
            </w:pPr>
            <w:r>
              <w:rPr>
                <w:b/>
              </w:rPr>
              <w:t>Rate</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For the portion of Annual Worldwide Net Sales &lt; $[***]</w:t>
            </w:r>
          </w:p>
        </w:tc>
        <w:tc>
          <w:tcPr>
            <w:tcW w:w="135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14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For the portion of Annual Worldwide Net Sales ≥ $[***] but &lt; $[***]</w:t>
            </w:r>
          </w:p>
        </w:tc>
        <w:tc>
          <w:tcPr>
            <w:tcW w:w="135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14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w:t>
            </w:r>
          </w:p>
        </w:tc>
      </w:tr>
      <w:tr>
        <w:trPr/>
        <w:tc>
          <w:tcPr>
            <w:tcW w:w="60"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666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For the portion of Annual Worldwide Net Sales ≥ $[***]</w:t>
            </w:r>
          </w:p>
        </w:tc>
        <w:tc>
          <w:tcPr>
            <w:tcW w:w="135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1415"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b/>
              </w:rPr>
            </w:pPr>
            <w:r>
              <w:rPr>
                <w:b/>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Schedule</w:t>
      </w:r>
      <w:r>
        <w:rPr>
          <w:rFonts w:ascii="Times New Roman" w:hAnsi="Times New Roman"/>
          <w:b/>
          <w:color w:val="000000"/>
          <w:sz w:val="24"/>
          <w:u w:val="single"/>
        </w:rPr>
        <w:t xml:space="preserve"> </w:t>
      </w:r>
      <w:r>
        <w:rPr>
          <w:rFonts w:ascii="Times New Roman" w:hAnsi="Times New Roman"/>
          <w:b/>
          <w:color w:val="000000"/>
          <w:sz w:val="20"/>
          <w:u w:val="single"/>
        </w:rPr>
        <w:t>6.14</w:t>
      </w:r>
    </w:p>
    <w:p>
      <w:pPr>
        <w:pStyle w:val="TextBody"/>
        <w:bidi w:val="0"/>
        <w:spacing w:before="0" w:after="0"/>
        <w:jc w:val="left"/>
        <w:rPr/>
      </w:pPr>
      <w:r>
        <w:rPr/>
      </w:r>
    </w:p>
    <w:p>
      <w:pPr>
        <w:pStyle w:val="TextBody"/>
        <w:bidi w:val="0"/>
        <w:spacing w:before="0" w:after="0"/>
        <w:jc w:val="left"/>
        <w:rPr>
          <w:rFonts w:ascii="Times New Roman" w:hAnsi="Times New Roman"/>
          <w:color w:val="000000"/>
          <w:sz w:val="24"/>
        </w:rPr>
      </w:pPr>
      <w:r>
        <w:rPr>
          <w:rFonts w:ascii="Times New Roman" w:hAnsi="Times New Roman"/>
          <w:b/>
          <w:smallCaps/>
          <w:color w:val="000000"/>
          <w:sz w:val="20"/>
        </w:rPr>
        <w:t>Table</w:t>
      </w:r>
      <w:r>
        <w:rPr>
          <w:rFonts w:ascii="Times New Roman" w:hAnsi="Times New Roman"/>
          <w:color w:val="000000"/>
          <w:sz w:val="24"/>
        </w:rPr>
        <w:t xml:space="preserve"> </w:t>
      </w:r>
      <w:r>
        <w:rPr>
          <w:rFonts w:ascii="Times New Roman" w:hAnsi="Times New Roman"/>
          <w:b/>
          <w:color w:val="000000"/>
          <w:sz w:val="20"/>
        </w:rPr>
        <w:t>2</w:t>
      </w:r>
      <w:r>
        <w:rPr>
          <w:rFonts w:ascii="Times New Roman" w:hAnsi="Times New Roman"/>
          <w:b/>
          <w:smallCaps/>
          <w:color w:val="000000"/>
          <w:sz w:val="20"/>
        </w:rPr>
        <w:t>a</w:t>
      </w:r>
      <w:r>
        <w:rPr>
          <w:rFonts w:ascii="Times New Roman" w:hAnsi="Times New Roman"/>
          <w:b/>
          <w:color w:val="000000"/>
          <w:sz w:val="20"/>
        </w:rPr>
        <w:t xml:space="preserve">: </w:t>
      </w:r>
      <w:r>
        <w:rPr>
          <w:rFonts w:ascii="Times New Roman" w:hAnsi="Times New Roman"/>
          <w:color w:val="000000"/>
          <w:sz w:val="20"/>
        </w:rPr>
        <w:t xml:space="preserve">[***] </w:t>
      </w:r>
      <w:r>
        <w:rPr>
          <w:rFonts w:ascii="Times New Roman" w:hAnsi="Times New Roman"/>
          <w:b/>
          <w:color w:val="000000"/>
          <w:sz w:val="20"/>
        </w:rPr>
        <w:t>Licensed Program Sales Milestones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5" w:name="zf363fc1c4a7545468d324bda1009e2d2"/>
      <w:bookmarkStart w:id="266" w:name="zf363fc1c4a7545468d324bda1009e2d2"/>
      <w:bookmarkEnd w:id="266"/>
    </w:p>
    <w:tbl>
      <w:tblPr>
        <w:tblW w:w="6260" w:type="dxa"/>
        <w:jc w:val="left"/>
        <w:tblInd w:w="-15" w:type="dxa"/>
        <w:tblLayout w:type="fixed"/>
        <w:tblCellMar>
          <w:top w:w="28" w:type="dxa"/>
          <w:left w:w="28" w:type="dxa"/>
          <w:bottom w:w="28" w:type="dxa"/>
          <w:right w:w="0" w:type="dxa"/>
        </w:tblCellMar>
      </w:tblPr>
      <w:tblGrid>
        <w:gridCol w:w="75"/>
        <w:gridCol w:w="2075"/>
        <w:gridCol w:w="1970"/>
        <w:gridCol w:w="530"/>
        <w:gridCol w:w="1610"/>
      </w:tblGrid>
      <w:tr>
        <w:trPr/>
        <w:tc>
          <w:tcPr>
            <w:tcW w:w="7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07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center"/>
              <w:rPr>
                <w:b/>
              </w:rPr>
            </w:pPr>
            <w:r>
              <w:rPr>
                <w:b/>
              </w:rPr>
              <w:t>Sales Milestone</w:t>
            </w:r>
          </w:p>
          <w:p>
            <w:pPr>
              <w:pStyle w:val="TableContents"/>
              <w:bidi w:val="0"/>
              <w:spacing w:before="0" w:after="0"/>
              <w:jc w:val="center"/>
              <w:rPr>
                <w:b/>
              </w:rPr>
            </w:pPr>
            <w:r>
              <w:rPr>
                <w:b/>
              </w:rPr>
              <w:t>Event</w:t>
            </w:r>
          </w:p>
        </w:tc>
        <w:tc>
          <w:tcPr>
            <w:tcW w:w="197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CVRM Agreement</w:t>
            </w:r>
          </w:p>
          <w:p>
            <w:pPr>
              <w:pStyle w:val="TableContents"/>
              <w:bidi w:val="0"/>
              <w:spacing w:before="0" w:after="0"/>
              <w:jc w:val="center"/>
              <w:rPr>
                <w:b/>
              </w:rPr>
            </w:pPr>
            <w:r>
              <w:rPr>
                <w:b/>
              </w:rPr>
              <w:t>Milestone Payment</w:t>
            </w:r>
          </w:p>
          <w:p>
            <w:pPr>
              <w:pStyle w:val="TableContents"/>
              <w:bidi w:val="0"/>
              <w:spacing w:before="0" w:after="0"/>
              <w:jc w:val="center"/>
              <w:rPr>
                <w:b/>
              </w:rPr>
            </w:pPr>
            <w:r>
              <w:rPr>
                <w:b/>
              </w:rPr>
              <w:t>(M)</w:t>
            </w:r>
          </w:p>
        </w:tc>
        <w:tc>
          <w:tcPr>
            <w:tcW w:w="53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w:t>
            </w:r>
          </w:p>
        </w:tc>
        <w:tc>
          <w:tcPr>
            <w:tcW w:w="161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b/>
              </w:rPr>
            </w:pPr>
            <w:r>
              <w:rPr>
                <w:b/>
              </w:rPr>
              <w:t>Total Milestone</w:t>
            </w:r>
          </w:p>
          <w:p>
            <w:pPr>
              <w:pStyle w:val="TableContents"/>
              <w:bidi w:val="0"/>
              <w:spacing w:before="0" w:after="0"/>
              <w:jc w:val="center"/>
              <w:rPr>
                <w:b/>
              </w:rPr>
            </w:pPr>
            <w:r>
              <w:rPr>
                <w:b/>
              </w:rPr>
              <w:t>Payment (M)</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07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Cumulative Net Sales</w:t>
            </w:r>
          </w:p>
          <w:p>
            <w:pPr>
              <w:pStyle w:val="TableContents"/>
              <w:bidi w:val="0"/>
              <w:spacing w:before="0" w:after="0"/>
              <w:jc w:val="left"/>
              <w:rPr/>
            </w:pPr>
            <w:r>
              <w:rPr/>
              <w:t>≥ </w:t>
            </w:r>
            <w:r>
              <w:rPr/>
              <w:t>$[***]</w:t>
            </w:r>
          </w:p>
        </w:tc>
        <w:tc>
          <w:tcPr>
            <w:tcW w:w="197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161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sz w:val="24"/>
              </w:rPr>
            </w:pPr>
            <w:r>
              <w:rPr>
                <w:b/>
                <w:sz w:val="20"/>
              </w:rPr>
              <w:t>$</w:t>
            </w:r>
            <w:r>
              <w:rPr>
                <w:sz w:val="20"/>
              </w:rPr>
              <w:t>[***]</w:t>
            </w:r>
            <w:r>
              <w:rPr>
                <w:b/>
                <w:sz w:val="20"/>
              </w:rPr>
              <w:t>*</w:t>
            </w:r>
          </w:p>
        </w:tc>
      </w:tr>
      <w:tr>
        <w:trPr/>
        <w:tc>
          <w:tcPr>
            <w:tcW w:w="75"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t> </w:t>
            </w:r>
          </w:p>
        </w:tc>
        <w:tc>
          <w:tcPr>
            <w:tcW w:w="2075"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r>
              <w:rPr/>
              <w:t>Cumulative Net Sales</w:t>
            </w:r>
          </w:p>
          <w:p>
            <w:pPr>
              <w:pStyle w:val="TableContents"/>
              <w:bidi w:val="0"/>
              <w:spacing w:before="0" w:after="0"/>
              <w:jc w:val="left"/>
              <w:rPr/>
            </w:pPr>
            <w:r>
              <w:rPr/>
              <w:t>≥ </w:t>
            </w:r>
            <w:r>
              <w:rPr/>
              <w:t>$[***]</w:t>
            </w:r>
          </w:p>
        </w:tc>
        <w:tc>
          <w:tcPr>
            <w:tcW w:w="197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53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pPr>
            <w:r>
              <w:rPr/>
              <w:t>[***]</w:t>
            </w:r>
          </w:p>
        </w:tc>
        <w:tc>
          <w:tcPr>
            <w:tcW w:w="161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sz w:val="24"/>
              </w:rPr>
            </w:pPr>
            <w:r>
              <w:rPr>
                <w:b/>
                <w:sz w:val="20"/>
              </w:rPr>
              <w:t>$</w:t>
            </w:r>
            <w:r>
              <w:rPr>
                <w:sz w:val="20"/>
              </w:rPr>
              <w:t>[***]</w:t>
            </w:r>
            <w:r>
              <w:rPr>
                <w:b/>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val="false"/>
          <w:i/>
          <w:color w:val="000000"/>
          <w:sz w:val="20"/>
        </w:rPr>
      </w:pPr>
      <w:r>
        <w:rPr>
          <w:rFonts w:ascii="Times New Roman" w:hAnsi="Times New Roman"/>
          <w:b w:val="false"/>
          <w:i/>
          <w:color w:val="000000"/>
          <w:sz w:val="20"/>
        </w:rPr>
        <w:t>Final Execution Version</w:t>
      </w:r>
    </w:p>
    <w:p>
      <w:pPr>
        <w:pStyle w:val="TextBody"/>
        <w:bidi w:val="0"/>
        <w:spacing w:before="0" w:after="0"/>
        <w:jc w:val="center"/>
        <w:rPr>
          <w:rFonts w:ascii="Times New Roman" w:hAnsi="Times New Roman"/>
          <w:b/>
          <w:color w:val="000000"/>
          <w:sz w:val="24"/>
        </w:rPr>
      </w:pPr>
      <w:r>
        <w:rPr>
          <w:rFonts w:ascii="Times New Roman" w:hAnsi="Times New Roman"/>
          <w:b/>
          <w:smallCaps/>
          <w:color w:val="000000"/>
          <w:sz w:val="20"/>
          <w:u w:val="single"/>
        </w:rPr>
        <w:t>Schedule</w:t>
      </w:r>
      <w:r>
        <w:rPr>
          <w:rFonts w:ascii="Times New Roman" w:hAnsi="Times New Roman"/>
          <w:b/>
          <w:color w:val="000000"/>
          <w:sz w:val="24"/>
          <w:u w:val="single"/>
        </w:rPr>
        <w:t xml:space="preserve"> </w:t>
      </w:r>
      <w:r>
        <w:rPr>
          <w:rFonts w:ascii="Times New Roman" w:hAnsi="Times New Roman"/>
          <w:b/>
          <w:color w:val="000000"/>
          <w:sz w:val="20"/>
          <w:u w:val="single"/>
        </w:rPr>
        <w:t>8.2.18</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67" w:name="exhibit19.htm"/>
      <w:bookmarkStart w:id="268" w:name="ksexhibit19"/>
      <w:bookmarkStart w:id="269" w:name="exhibit19.htm"/>
      <w:bookmarkStart w:id="270" w:name="ksexhibit19"/>
      <w:bookmarkEnd w:id="269"/>
      <w:bookmarkEnd w:id="270"/>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19</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PUBLIC COMPANY OBLIGATIONS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4"/>
        </w:rPr>
      </w:pPr>
      <w:r>
        <w:rPr>
          <w:rFonts w:ascii="Times New Roman" w:hAnsi="Times New Roman"/>
          <w:color w:val="333333"/>
          <w:sz w:val="20"/>
        </w:rPr>
        <w:t xml:space="preserve">Ionis Pharmaceuticals, Inc. (“Ionis”) </w:t>
      </w:r>
      <w:r>
        <w:rPr>
          <w:rFonts w:ascii="Times New Roman" w:hAnsi="Times New Roman"/>
          <w:color w:val="000000"/>
          <w:sz w:val="20"/>
        </w:rPr>
        <w:t>is a public company, which means it is owned by its stockholders and its securities are publicly traded. Every Ionis employee has an obligation to protect Ionis’ value and assets. When you started employment at Ionis, you signed an Employee Confidential Information and Invention Agreement.  In this agreement, you promised to protect Ionis’ confidential information and trade secrets by not disclosing this information to unauthorized persons.  It is your responsibility to fully understand and comply with this agreement.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also your obligation to understand certain actions that you cannot take, either because to do so is unlawful for the employees of a public company or because to do so could harm Ionis.  Every employee and non-employee director has the individual responsibility to comply with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Insider Trading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Prohibited Activities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course of your employment, you may receive material information that is not yet publicly available (“material nonpublic information”) about Ionis or about other publicly traded companies with which Ionis has business dealings.  Because of your access to this information, you may be in a position to profit financially by buying or selling or in some other way dealing in Ionis’ securities or the securities of another publicly traded company.  Similarly, you may be in a position to benefit financially or otherwise by passing this information on to some other person.  Whether you personally benefit or another person benefits, this is considered “insider trading” and is illegal.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activities are prohibited: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1" w:name="zb4b34f784f324d069eaa490df1208def"/>
      <w:bookmarkStart w:id="272" w:name="zb4b34f784f324d069eaa490df1208def"/>
      <w:bookmarkEnd w:id="27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No unauthorized disclosure.  You may not disclose material nonpublic information to anyone at Ionis who is not authorized to access it or to anyone outside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3" w:name="z3115ca3b79204047912d5d0efd9e8ceb"/>
      <w:bookmarkStart w:id="274" w:name="z3115ca3b79204047912d5d0efd9e8ceb"/>
      <w:bookmarkEnd w:id="27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No trading in Ionis securities with material nonpublic information.  When you have access to material nonpublic information about Ionis, you may not buy or sell Ionis securities regardless of the amount nor may you encourage or discourage others from trading Ionis’ securities.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5" w:name="z6a5ec7d21436419884b752c7a06162ec"/>
      <w:bookmarkStart w:id="276" w:name="z6a5ec7d21436419884b752c7a06162ec"/>
      <w:bookmarkEnd w:id="27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No trading in Ionis’ partner’s securities with material nonpublic information.  When you have access to material nonpublic information about other publicly traded companies with which Ionis has a business relationship, you may not buy or sell securities in the applicable company regardless of the amount nor may you encourage or discourage others from trading that company’s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7" w:name="zc2d3f3fb7439424898d89dda1b571437"/>
      <w:bookmarkStart w:id="278" w:name="zc2d3f3fb7439424898d89dda1b571437"/>
      <w:bookmarkEnd w:id="27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No establishment of Rule 10b5-1 Plans with material nonpublic information.  When you have access to material nonpublic information about Ionis, you may not establish a Rule 10b5-1 Plan.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prohibition against insider trading is absolute and the U.S. federal securities laws do not recognize any mitigating circumstances to insider trading. It also applies to transactions that may be necessary or justifiable for independent reasons (such as the need to raise money for an emergency expenditure) and to transactions with a small dollar value.  All that matters is whether you are aware of any material nonpublic information relating to Ionis or its partner(s) at the time of the transaction. In some circumstances, you may need to forgo a planned transaction even if you planned it before becoming aware of the material nonpublic information. Even if you believe you may suffer an economic loss or sacrifice an anticipated profit by waiting to trade, you must wait.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It is also important to note that the laws prohibiting insider trading are not limited to trading by the insider alone; advising others to trade on the basis of material nonpublic information is illegal and prohibited by this policy. Liability in such cases can extend both to the “tippee”—the person to whom the insider disclosed material nonpublic information—and to the “tipper,” the insider.  In such cases, you can be held liable for your own transactions, as well as the transactions by a tippee and even the transactions of a tippee’s tippee. These prohibitions against trading when you have access to material nonpublic information also apply to members of your household and businesses and other entities you control.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Examples of Material Nonpublic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a practical matter, it is sometimes difficult to determine whether you possess material nonpublic information.  The key to determining whether nonpublic information you possess about a public company is material nonpublic information is whether public disclosure of the information would be likely to affect the market price of the company’s securities or if a reasonable investor who is considering trading in that company’s securities would consider the information important to its decision to trade.  If the information makes you want to trade, it would probably have the same effect on others.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it may be difficult under this standard to determine whether certain information is material nonpublic information, there are categories of information that are particularly sensitive and therefore more likely to be considered material nonpublic information.  Either positive or negative information may be material nonpublic information, and the information can be material nonpublic information with respect to both Ionis’ securities and Ionis’ partner’s securities.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Examples include, but are not limited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9" w:name="z2ae2cecdf1ae47e7b3435e01d334ec3c"/>
      <w:bookmarkStart w:id="280" w:name="z2ae2cecdf1ae47e7b3435e01d334ec3c"/>
      <w:bookmarkEnd w:id="280"/>
    </w:p>
    <w:tbl>
      <w:tblPr>
        <w:tblW w:w="3018" w:type="dxa"/>
        <w:jc w:val="left"/>
        <w:tblInd w:w="0" w:type="dxa"/>
        <w:tblLayout w:type="fixed"/>
        <w:tblCellMar>
          <w:top w:w="0" w:type="dxa"/>
          <w:left w:w="0" w:type="dxa"/>
          <w:bottom w:w="0" w:type="dxa"/>
          <w:right w:w="0" w:type="dxa"/>
        </w:tblCellMar>
      </w:tblPr>
      <w:tblGrid>
        <w:gridCol w:w="38"/>
        <w:gridCol w:w="110"/>
        <w:gridCol w:w="2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0"/>
              <w:jc w:val="both"/>
              <w:rPr/>
            </w:pPr>
            <w:r>
              <w:rPr/>
              <w:t>status of regulatory approvals;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1" w:name="zc02213aa85c4418e8c16f3908ee2c481"/>
      <w:bookmarkStart w:id="282" w:name="zc02213aa85c4418e8c16f3908ee2c481"/>
      <w:bookmarkEnd w:id="28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results of clinical trials involving Ionis’ or another company’s drug.  Note this information could prohibit trading in both Ionis’ and the partner company’s stock;</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3" w:name="zb9edc9d9bac740279004bae1d8b2fa2d"/>
      <w:bookmarkStart w:id="284" w:name="zb9edc9d9bac740279004bae1d8b2fa2d"/>
      <w:bookmarkEnd w:id="28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communications, whether written or oral, from the FDA or other regulatory authority regarding Ionis’ or another company’s drug;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5" w:name="z0687583a473e498a93b43cde33812777"/>
      <w:bookmarkStart w:id="286" w:name="z0687583a473e498a93b43cde33812777"/>
      <w:bookmarkEnd w:id="28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existing or potential partnering transactions related to Ionis’ programs including progress under the transactions and financial consequences;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7" w:name="zf998f9f8731c45dcb39ed7e9bb2a3501"/>
      <w:bookmarkStart w:id="288" w:name="zf998f9f8731c45dcb39ed7e9bb2a3501"/>
      <w:bookmarkEnd w:id="28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potential acquisitions or dispositions of product candidates, technologies or businesses by Ionis or another company;</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89" w:name="zc2f440a25636487f8da304333d072a86"/>
      <w:bookmarkStart w:id="290" w:name="zc2f440a25636487f8da304333d072a86"/>
      <w:bookmarkEnd w:id="290"/>
    </w:p>
    <w:tbl>
      <w:tblPr>
        <w:tblW w:w="5163" w:type="dxa"/>
        <w:jc w:val="left"/>
        <w:tblInd w:w="0" w:type="dxa"/>
        <w:tblLayout w:type="fixed"/>
        <w:tblCellMar>
          <w:top w:w="0" w:type="dxa"/>
          <w:left w:w="0" w:type="dxa"/>
          <w:bottom w:w="0" w:type="dxa"/>
          <w:right w:w="0" w:type="dxa"/>
        </w:tblCellMar>
      </w:tblPr>
      <w:tblGrid>
        <w:gridCol w:w="38"/>
        <w:gridCol w:w="110"/>
        <w:gridCol w:w="50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both"/>
              <w:rPr/>
            </w:pPr>
            <w:r>
              <w:rPr/>
              <w:t>new equity or debt offerings or repurchases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1" w:name="z53ecf2786acc4e398b1c516b3220bb7b"/>
      <w:bookmarkStart w:id="292" w:name="z53ecf2786acc4e398b1c516b3220bb7b"/>
      <w:bookmarkEnd w:id="292"/>
    </w:p>
    <w:tbl>
      <w:tblPr>
        <w:tblW w:w="7953" w:type="dxa"/>
        <w:jc w:val="left"/>
        <w:tblInd w:w="0" w:type="dxa"/>
        <w:tblLayout w:type="fixed"/>
        <w:tblCellMar>
          <w:top w:w="0" w:type="dxa"/>
          <w:left w:w="0" w:type="dxa"/>
          <w:bottom w:w="0" w:type="dxa"/>
          <w:right w:w="0" w:type="dxa"/>
        </w:tblCellMar>
      </w:tblPr>
      <w:tblGrid>
        <w:gridCol w:w="38"/>
        <w:gridCol w:w="110"/>
        <w:gridCol w:w="7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both"/>
              <w:rPr/>
            </w:pPr>
            <w:r>
              <w:rPr/>
              <w:t>financial results (annual, quarterly or interim), forecasts and commercial sales data;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3" w:name="z09f49255841148f2bc83b82af5f09145"/>
      <w:bookmarkStart w:id="294" w:name="z09f49255841148f2bc83b82af5f09145"/>
      <w:bookmarkEnd w:id="294"/>
    </w:p>
    <w:tbl>
      <w:tblPr>
        <w:tblW w:w="3978" w:type="dxa"/>
        <w:jc w:val="left"/>
        <w:tblInd w:w="0" w:type="dxa"/>
        <w:tblLayout w:type="fixed"/>
        <w:tblCellMar>
          <w:top w:w="0" w:type="dxa"/>
          <w:left w:w="0" w:type="dxa"/>
          <w:bottom w:w="0" w:type="dxa"/>
          <w:right w:w="0" w:type="dxa"/>
        </w:tblCellMar>
      </w:tblPr>
      <w:tblGrid>
        <w:gridCol w:w="38"/>
        <w:gridCol w:w="110"/>
        <w:gridCol w:w="38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0"/>
              <w:jc w:val="both"/>
              <w:rPr/>
            </w:pPr>
            <w:r>
              <w:rPr/>
              <w:t>adjustments to Ionis’ financial guidance;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5" w:name="zf8dabc918fdf4d529416b9924896de13"/>
      <w:bookmarkStart w:id="296" w:name="zf8dabc918fdf4d529416b9924896de13"/>
      <w:bookmarkEnd w:id="296"/>
    </w:p>
    <w:tbl>
      <w:tblPr>
        <w:tblW w:w="2823" w:type="dxa"/>
        <w:jc w:val="left"/>
        <w:tblInd w:w="0" w:type="dxa"/>
        <w:tblLayout w:type="fixed"/>
        <w:tblCellMar>
          <w:top w:w="0" w:type="dxa"/>
          <w:left w:w="0" w:type="dxa"/>
          <w:bottom w:w="0" w:type="dxa"/>
          <w:right w:w="0" w:type="dxa"/>
        </w:tblCellMar>
      </w:tblPr>
      <w:tblGrid>
        <w:gridCol w:w="38"/>
        <w:gridCol w:w="110"/>
        <w:gridCol w:w="26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0"/>
              <w:jc w:val="both"/>
              <w:rPr/>
            </w:pPr>
            <w:r>
              <w:rPr/>
              <w:t>litigation or settlements;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7" w:name="zd88160995ec44043928b5410acabd551"/>
      <w:bookmarkStart w:id="298" w:name="zd88160995ec44043928b5410acabd551"/>
      <w:bookmarkEnd w:id="29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a disruption in Ionis’ operations or breach or unauthorized access of its property or assets, including its facilities and information technology infrastructure.</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should discuss questions regarding whether nonpublic information is material nonpublic information with Ionis’ CFO or General Counsel.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Blackout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to the prohibition against trading while you possess material nonpublic information, Ionis, through its CFO or General Counsel, may impose certain blackout periods during which employees will be prohibited from trading in Ionis’ securities, unless such trades are made under a previously adopted, valid Rule 10b5-1 Plan that complies with Ionis’ policies.  Generally, Ionis will impose a trading blackout period during the following times: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99" w:name="z8767c8af12094aabbfaaf4562552901a"/>
      <w:bookmarkStart w:id="300" w:name="z8767c8af12094aabbfaaf4562552901a"/>
      <w:bookmarkEnd w:id="30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when Ionis unblinds the data (or if an open label study, completes the primary statistical analyses plan) for a clinical study (for a preliminary or final analysis) for one of Ionis’ drugs where Ionis’ CFO and General Counsel have determined the results of such study are material nonpublic information until the top line results of such study are publicly disclosed by Ionis;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1" w:name="z71e243327d10423cad16cfec8138063c"/>
      <w:bookmarkStart w:id="302" w:name="z71e243327d10423cad16cfec8138063c"/>
      <w:bookmarkEnd w:id="30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when Ionis reasonably believes that a significant partnering transaction related to one or more of Ionis’ programs is imminent until Ionis publicly discloses such transaction;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3" w:name="zf1f86f8de8ad4e50b4833410d9356cc5"/>
      <w:bookmarkStart w:id="304" w:name="zf1f86f8de8ad4e50b4833410d9356cc5"/>
      <w:bookmarkEnd w:id="30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on the first business day following the end of the recently completed fiscal year or quarter until Ionis publicly discloses its financial results for such year or quarter.</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Ionis may impose additional blackout periods if Ionis’ CFO or General Counsel believes material nonpublic information exists that requires imposing a blackout period to avoid the potential for, or the perception of, insider trading.</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Generally, each blackout period will end at market open the trading day following public disclosure of Ionis’ financial results for the year or quarter.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fact that Ionis has imposed a blackout period is Ionis’ confidential information and may not be disclosed outside Ionis.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time a blackout period is in effect, Ionis will notify its employees, and Ionis’ Stock Plan Administrator is authorized to block or reverse transactions in Ionis’ securities that violate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Please remember, you cannot assume it is OK to trade simply because no blackout period applies.  Even when there is no blackout, you still may possess material nonpublic information that precludes you from trading.  As a result, each time you wish to trade in the absence of a blackout, you still must use good judgment and refrain from trading on the basis of material nonpublic information.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Rule 10b5-1 Plans Required for CEO and Members of the Operating Committee; Optional for All Other Employees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CEO and all members of Ionis’ Operating Committee can only trade (buy or sell) Ionis’ securities using an Ionis approved Rule 10b5-1 Plan.  Please note that this restriction applies not only to the individual, but also to members of such individual’s household and businesses or other entities the individual controls.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other employees may choose to trade Ionis’ securities using an Ionis approved Rule 10b5-1 Plan.  If an employee chooses to use a Rule 10b5-1 Plan, then such employee may not trade Ionis’ securities outside of a Rule 10b5-1 Plan for at least 12 months following the date on which all of such employee’s Rule 10b5-1 Plans have expired or been terminated.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Employees may only establish a Rule 10b5-1 Plan at a time when they are not in possession of material nonpublic information and when no blackout period applies.  Please contact Ionis’ Stock Plan Administrator or General Counsel if you have any questions regarding how to implement a Rule 10b5-1 Plan.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Pre-Clearance Procedures for Non-Employee Directors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Ionis’ non-employee Directors are strongly encouraged to trade Ionis’ securities using a Rule 10b5-1 Plan approved by Ionis.  To avoid the potential appearance of inappropriate trading, Ionis’ non-employee Directors may not trade in Ionis’ securities without first contacting Ionis’ General Counsel and obtaining pre-clearance from such officer to trade, unless such trades are made pursuant to a Rule 10b5-1 Plan approved by Ionis.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Certain Transactions Not Subject to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exercise of stock options for cash under Ionis’ stock option plans, purchases under Ionis’ Employee Stock Purchase Plan (“ESPP”), and transactions that are automatically effected by Ionis’ Stock Plan Administrator in connection with the vesting and release of restricted stock units (“RSUs”) are exempt from this policy, since the other party to these transactions is Ionis itself, or the timing of the transaction is fixed and you do not control the timing or execution of the transaction.  This exemption does not apply to the sale by you of any shares issued upon an option exercise, ESPP purchase, or RSU release, and it does not apply to a cashless exercise of options, which is accomplished by a sale of a portion of the shares issued upon exercise of an option.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Rule 10b5-1 Plan is properly established, purchases and sales of Ionis’ securities pursuant to that Plan are not subject to this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bona fide gifts and charitable donations of Ionis’ securities are exempt from this policy.</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Annual Training Required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employee must complete Ionis’ approved insider trading training at least once every twelve months.  Failure to timely complete the training could result in suspended trading privileges under this policy until training is completed, and other disciplinary action.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Hedging, Pledging and Other Speculative Transactions Prohibited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None of Ionis’ employees or non-employee directors may engage in any type of hedging against Ionis’ stock, including short sales and derivatives such as put or call options, swaps, forwards, and futures, or other inherently speculative transactions with respect to Ionis’ securities at any time.  You are also discouraged from engaging in these types of transactions with respect to Ionis’ partners’ securities.  In addition, none of Ionis’ employees or non-employee directors may pledge as collateral any of Ionis’ securities, including without limitation, making any offer to margin or borrowing against such securities, at any time.  These practices are prohibited by you, members of your household and businesses or other entities you control.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Policy Duration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policy continues to apply to your transactions in Ionis’ securities and the securities of other applicable public companies even after your relationship with Ionis has ended. If you are aware of material nonpublic information when your relationship with Ionis ends, you may not trade Ionis’ securities or the securities of other applicable publicly traded companies until the material nonpublic information has been publicly disseminated or is no longer material.  Further, if you leave Ionis during a trading blackout period, then you may not trade Ionis’ securities or the securities of other applicable companies until such trading blackout period has ended.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Individual Responsibility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Persons subject to this policy have ethical and legal obligations to maintain the confidentiality of information about Ionis and to not engage in transactions in Ionis’ securities or the securities of other applicable public companies while aware of material nonpublic information, as more specifically set forth in this policy. In all cases, the responsibility for determining whether an individual is aware of material nonpublic information rests with that individual, and any action on the part of Ionis or any employee or non-employee director of Ionis pursuant to this policy does not in any way constitute legal advice or insulate an individual from liability under applicable securities laws. You could be subject to severe legal penalties and disciplinary action by Ionis for any conduct prohibited by this policy or applicable securities laws.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Amendments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Ionis is committed to continuously reviewing and updating its policies and procedures. Ionis therefore reserves the right to amend, alter or terminate this policy at any time and for any reason.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The Internet and Social Media Platforms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Ionis has social media guidelines that establish guiding principles that govern communication about Ionis and Ionis’ stock on all social media platforms. Please refer to these guidelines on the Policies &amp; Procedures section of the IoniSphere.</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23.1</w:t>
      </w:r>
      <w:r>
        <w:br w:type="page"/>
      </w:r>
    </w:p>
    <w:p>
      <w:pPr>
        <w:pStyle w:val="TextBody"/>
        <w:bidi w:val="0"/>
        <w:spacing w:before="0" w:after="0"/>
        <w:jc w:val="center"/>
        <w:rPr/>
      </w:pPr>
      <w:r>
        <w:rPr/>
      </w:r>
    </w:p>
    <w:p>
      <w:pPr>
        <w:pStyle w:val="TextBody"/>
        <w:bidi w:val="0"/>
        <w:spacing w:before="0" w:after="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100" w:after="100"/>
        <w:jc w:val="left"/>
        <w:rPr/>
      </w:pPr>
      <w:r>
        <w:rPr/>
      </w:r>
    </w:p>
    <w:p>
      <w:pPr>
        <w:pStyle w:val="TextBody"/>
        <w:bidi w:val="0"/>
        <w:spacing w:before="100" w:after="10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Normal"/>
        <w:bidi w:val="0"/>
        <w:spacing w:before="0" w:after="0"/>
        <w:jc w:val="left"/>
        <w:rPr>
          <w:sz w:val="4"/>
          <w:szCs w:val="4"/>
        </w:rPr>
      </w:pPr>
      <w:r>
        <w:rPr>
          <w:sz w:val="4"/>
          <w:szCs w:val="4"/>
        </w:rPr>
      </w:r>
      <w:bookmarkStart w:id="305" w:name="z90824a68fa694785971fbd4990d24813"/>
      <w:bookmarkStart w:id="306" w:name="z90824a68fa694785971fbd4990d24813"/>
      <w:bookmarkEnd w:id="306"/>
    </w:p>
    <w:tbl>
      <w:tblPr>
        <w:tblW w:w="7960" w:type="dxa"/>
        <w:jc w:val="left"/>
        <w:tblInd w:w="0" w:type="dxa"/>
        <w:tblLayout w:type="fixed"/>
        <w:tblCellMar>
          <w:top w:w="0" w:type="dxa"/>
          <w:left w:w="0" w:type="dxa"/>
          <w:bottom w:w="0" w:type="dxa"/>
          <w:right w:w="0" w:type="dxa"/>
        </w:tblCellMar>
      </w:tblPr>
      <w:tblGrid>
        <w:gridCol w:w="260"/>
        <w:gridCol w:w="7700"/>
      </w:tblGrid>
      <w:tr>
        <w:trPr/>
        <w:tc>
          <w:tcPr>
            <w:tcW w:w="260" w:type="dxa"/>
            <w:tcBorders/>
            <w:vAlign w:val="center"/>
          </w:tcPr>
          <w:p>
            <w:pPr>
              <w:pStyle w:val="TableContents"/>
              <w:bidi w:val="0"/>
              <w:spacing w:before="100" w:after="100"/>
              <w:ind w:left="360" w:right="0" w:hanging="0"/>
              <w:jc w:val="left"/>
              <w:rPr>
                <w:rFonts w:ascii="Times New Roman;Times;serif" w:hAnsi="Times New Roman;Times;serif"/>
                <w:sz w:val="20"/>
              </w:rPr>
            </w:pPr>
            <w:r>
              <w:rPr>
                <w:rFonts w:ascii="Times New Roman;Times;serif" w:hAnsi="Times New Roman;Times;serif"/>
                <w:sz w:val="20"/>
              </w:rPr>
              <w:t>(1)</w:t>
            </w:r>
          </w:p>
        </w:tc>
        <w:tc>
          <w:tcPr>
            <w:tcW w:w="7700" w:type="dxa"/>
            <w:tcBorders/>
            <w:vAlign w:val="center"/>
          </w:tcPr>
          <w:p>
            <w:pPr>
              <w:pStyle w:val="TableContents"/>
              <w:bidi w:val="0"/>
              <w:spacing w:before="100" w:after="100"/>
              <w:ind w:left="0" w:right="0" w:firstLine="720"/>
              <w:jc w:val="left"/>
              <w:rPr>
                <w:rFonts w:ascii="Times New Roman;Times;serif" w:hAnsi="Times New Roman;Times;serif"/>
                <w:sz w:val="20"/>
              </w:rPr>
            </w:pPr>
            <w:r>
              <w:rPr>
                <w:rFonts w:ascii="Times New Roman;Times;serif" w:hAnsi="Times New Roman;Times;serif"/>
                <w:sz w:val="20"/>
              </w:rPr>
              <w:t>Registration Statement (Form S-3 No. 333-275741) of Ionis Pharmaceuticals, Inc., and</w:t>
            </w:r>
          </w:p>
        </w:tc>
      </w:tr>
    </w:tbl>
    <w:p>
      <w:pPr>
        <w:pStyle w:val="Normal"/>
        <w:bidi w:val="0"/>
        <w:spacing w:before="0" w:after="0"/>
        <w:jc w:val="left"/>
        <w:rPr>
          <w:sz w:val="4"/>
          <w:szCs w:val="4"/>
        </w:rPr>
      </w:pPr>
      <w:r>
        <w:rPr>
          <w:sz w:val="4"/>
          <w:szCs w:val="4"/>
        </w:rPr>
      </w:r>
      <w:bookmarkStart w:id="307" w:name="z716a0e156ecd47c183a6f83b303b076e"/>
      <w:bookmarkStart w:id="308" w:name="z716a0e156ecd47c183a6f83b303b076e"/>
      <w:bookmarkEnd w:id="308"/>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100" w:after="100"/>
              <w:ind w:left="360" w:right="0" w:hanging="0"/>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100" w:after="100"/>
              <w:ind w:left="0" w:right="0" w:firstLine="720"/>
              <w:jc w:val="left"/>
              <w:rPr>
                <w:rFonts w:ascii="Times New Roman;Times;serif" w:hAnsi="Times New Roman;Times;serif"/>
                <w:sz w:val="20"/>
              </w:rPr>
            </w:pPr>
            <w:r>
              <w:rPr>
                <w:rFonts w:ascii="Times New Roman;Times;serif" w:hAnsi="Times New Roman;Times;serif"/>
                <w:sz w:val="20"/>
              </w:rPr>
              <w:t>Registration Statements (Form S-8 Nos. 333-05825, 333-55683, 333-40336, 333-59296, 333-91572, 333-106859, 333-116962, 333-125911, 333-133853, 333-142777, 333-151996, 333-160269, 333-168674, 333-176136, 333-184788, 333-190408, 333-207900, 333-219801, 333-233143, 333-242386, 333-251855, 333-258503, 333-273902 and 333-281242) of Ionis Pharmaceuticals, Inc.;</w:t>
            </w:r>
          </w:p>
        </w:tc>
      </w:tr>
    </w:tbl>
    <w:p>
      <w:pPr>
        <w:pStyle w:val="TextBody"/>
        <w:bidi w:val="0"/>
        <w:spacing w:before="100" w:after="100"/>
        <w:jc w:val="left"/>
        <w:rPr>
          <w:rFonts w:ascii="Times New Roman;Times;serif" w:hAnsi="Times New Roman;Times;serif"/>
          <w:sz w:val="20"/>
        </w:rPr>
      </w:pPr>
      <w:r>
        <w:rPr>
          <w:rFonts w:ascii="Times New Roman;Times;serif" w:hAnsi="Times New Roman;Times;serif"/>
          <w:sz w:val="20"/>
        </w:rPr>
        <w:t>of our reports dated February 19, 2025, with respect to the consolidated financial statements of Ionis Pharmaceuticals, Inc. and the effectiveness of internal control over financial reporting of Ionis Pharmaceuticals, Inc. included in this Annual Report (Form 10-K) of Ionis Pharmaceuticals, Inc. for the year ended December 31, 2024.</w:t>
      </w:r>
    </w:p>
    <w:p>
      <w:pPr>
        <w:pStyle w:val="Normal"/>
        <w:bidi w:val="0"/>
        <w:spacing w:before="0" w:after="0"/>
        <w:jc w:val="left"/>
        <w:rPr>
          <w:sz w:val="4"/>
          <w:szCs w:val="4"/>
        </w:rPr>
      </w:pPr>
      <w:r>
        <w:rPr>
          <w:sz w:val="4"/>
          <w:szCs w:val="4"/>
        </w:rPr>
      </w:r>
      <w:bookmarkStart w:id="309" w:name="z7c9fb007abb140f0bde8b8f819de3425"/>
      <w:bookmarkStart w:id="310" w:name="z7c9fb007abb140f0bde8b8f819de3425"/>
      <w:bookmarkEnd w:id="310"/>
    </w:p>
    <w:tbl>
      <w:tblPr>
        <w:tblW w:w="1955" w:type="dxa"/>
        <w:jc w:val="left"/>
        <w:tblInd w:w="0" w:type="dxa"/>
        <w:tblLayout w:type="fixed"/>
        <w:tblCellMar>
          <w:top w:w="0" w:type="dxa"/>
          <w:left w:w="0" w:type="dxa"/>
          <w:bottom w:w="0" w:type="dxa"/>
          <w:right w:w="0" w:type="dxa"/>
        </w:tblCellMar>
      </w:tblPr>
      <w:tblGrid>
        <w:gridCol w:w="1880"/>
        <w:gridCol w:w="75"/>
      </w:tblGrid>
      <w:tr>
        <w:trPr/>
        <w:tc>
          <w:tcPr>
            <w:tcW w:w="188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Ernst &amp; Young LLP</w:t>
            </w:r>
          </w:p>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San Diego, California</w:t>
            </w:r>
          </w:p>
        </w:tc>
        <w:tc>
          <w:tcPr>
            <w:tcW w:w="7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February 19, 2025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 Brett P. Monia,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1" w:name="z77616025b0044d8fa1271b308954b8e6"/>
      <w:bookmarkStart w:id="312" w:name="z77616025b0044d8fa1271b308954b8e6"/>
      <w:bookmarkEnd w:id="312"/>
    </w:p>
    <w:tbl>
      <w:tblPr>
        <w:tblW w:w="6730" w:type="dxa"/>
        <w:jc w:val="left"/>
        <w:tblInd w:w="0" w:type="dxa"/>
        <w:tblLayout w:type="fixed"/>
        <w:tblCellMar>
          <w:top w:w="0" w:type="dxa"/>
          <w:left w:w="0" w:type="dxa"/>
          <w:bottom w:w="0" w:type="dxa"/>
          <w:right w:w="0" w:type="dxa"/>
        </w:tblCellMar>
      </w:tblPr>
      <w:tblGrid>
        <w:gridCol w:w="185"/>
        <w:gridCol w:w="6545"/>
      </w:tblGrid>
      <w:tr>
        <w:trPr/>
        <w:tc>
          <w:tcPr>
            <w:tcW w:w="18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Ionis Pharmaceuticals,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3" w:name="z9c480025c64044958865db0d911e1ab7"/>
      <w:bookmarkStart w:id="314" w:name="z9c480025c64044958865db0d911e1ab7"/>
      <w:bookmarkEnd w:id="314"/>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5" w:name="zc6fa3c291acf4cf6b441d44977a5e315"/>
      <w:bookmarkStart w:id="316" w:name="zc6fa3c291acf4cf6b441d44977a5e315"/>
      <w:bookmarkEnd w:id="316"/>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consolidated financial statements, and other financial information included in this annual report, fairly present in all material respects the financial condition, consolidated results of operations and consolidated cash flows of the registrant as of, and for, the periods presented in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7" w:name="z807e4a2c44744620ba50db5940fcb20a"/>
      <w:bookmarkStart w:id="318" w:name="z807e4a2c44744620ba50db5940fcb20a"/>
      <w:bookmarkEnd w:id="318"/>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19" w:name="z0ae8318d0d8144399a72c50cab57a5f4"/>
      <w:bookmarkStart w:id="320" w:name="z0ae8318d0d8144399a72c50cab57a5f4"/>
      <w:bookmarkEnd w:id="320"/>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1" w:name="z0c1ee3b748a044d4b1b322ec5311c86e"/>
      <w:bookmarkStart w:id="322" w:name="z0c1ee3b748a044d4b1b322ec5311c86e"/>
      <w:bookmarkEnd w:id="322"/>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3" w:name="z356aedf2d57c4f88915ccf4c833b193a"/>
      <w:bookmarkStart w:id="324" w:name="z356aedf2d57c4f88915ccf4c833b193a"/>
      <w:bookmarkEnd w:id="324"/>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5" w:name="zf60afcb268aa4ee69098eb0e441eb4ed"/>
      <w:bookmarkStart w:id="326" w:name="zf60afcb268aa4ee69098eb0e441eb4ed"/>
      <w:bookmarkEnd w:id="32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7" w:name="zd25d8372592944278b05aedefb6af341"/>
      <w:bookmarkStart w:id="328" w:name="zd25d8372592944278b05aedefb6af341"/>
      <w:bookmarkEnd w:id="328"/>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9" w:name="z5b45638bd483429e97addbb7efb13de7"/>
      <w:bookmarkStart w:id="330" w:name="z5b45638bd483429e97addbb7efb13de7"/>
      <w:bookmarkEnd w:id="330"/>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1" w:name="z90135640fcad4a30b51f80d4ca5025f7"/>
      <w:bookmarkStart w:id="332" w:name="z90135640fcad4a30b51f80d4ca5025f7"/>
      <w:bookmarkEnd w:id="332"/>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Normal"/>
        <w:bidi w:val="0"/>
        <w:spacing w:before="0" w:after="0"/>
        <w:jc w:val="left"/>
        <w:rPr>
          <w:sz w:val="4"/>
          <w:szCs w:val="4"/>
        </w:rPr>
      </w:pPr>
      <w:r>
        <w:rPr>
          <w:sz w:val="4"/>
          <w:szCs w:val="4"/>
        </w:rPr>
      </w:r>
      <w:bookmarkStart w:id="333" w:name="z4adbdb70bfb043ca8d48ccbf081d8e39"/>
      <w:bookmarkStart w:id="334" w:name="z4adbdb70bfb043ca8d48ccbf081d8e39"/>
      <w:bookmarkEnd w:id="334"/>
    </w:p>
    <w:tbl>
      <w:tblPr>
        <w:tblW w:w="2180" w:type="dxa"/>
        <w:jc w:val="left"/>
        <w:tblInd w:w="0" w:type="dxa"/>
        <w:tblLayout w:type="fixed"/>
        <w:tblCellMar>
          <w:top w:w="0" w:type="dxa"/>
          <w:left w:w="0" w:type="dxa"/>
          <w:bottom w:w="0" w:type="dxa"/>
          <w:right w:w="0" w:type="dxa"/>
        </w:tblCellMar>
      </w:tblPr>
      <w:tblGrid>
        <w:gridCol w:w="2105"/>
        <w:gridCol w:w="75"/>
      </w:tblGrid>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Dated: February 19, 2025</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75" w:type="dxa"/>
            <w:tcBorders/>
            <w:vAlign w:val="center"/>
          </w:tcPr>
          <w:p>
            <w:pPr>
              <w:pStyle w:val="TableContents"/>
              <w:bidi w:val="0"/>
              <w:spacing w:before="0" w:after="0"/>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31.2</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I, Elizabeth L. Hougen,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5" w:name="z1745e4b7d151471f957fc2a800ea1949"/>
      <w:bookmarkStart w:id="336" w:name="z1745e4b7d151471f957fc2a800ea1949"/>
      <w:bookmarkEnd w:id="336"/>
    </w:p>
    <w:tbl>
      <w:tblPr>
        <w:tblW w:w="6730" w:type="dxa"/>
        <w:jc w:val="left"/>
        <w:tblInd w:w="0" w:type="dxa"/>
        <w:tblLayout w:type="fixed"/>
        <w:tblCellMar>
          <w:top w:w="0" w:type="dxa"/>
          <w:left w:w="0" w:type="dxa"/>
          <w:bottom w:w="0" w:type="dxa"/>
          <w:right w:w="0" w:type="dxa"/>
        </w:tblCellMar>
      </w:tblPr>
      <w:tblGrid>
        <w:gridCol w:w="185"/>
        <w:gridCol w:w="6545"/>
      </w:tblGrid>
      <w:tr>
        <w:trPr/>
        <w:tc>
          <w:tcPr>
            <w:tcW w:w="185"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w:t>
            </w:r>
          </w:p>
        </w:tc>
        <w:tc>
          <w:tcPr>
            <w:tcW w:w="65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Ionis Pharmaceuticals, Inc.;</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7" w:name="z4adef0c9744a4050808c845f6b71d00a"/>
      <w:bookmarkStart w:id="338" w:name="z4adef0c9744a4050808c845f6b71d00a"/>
      <w:bookmarkEnd w:id="338"/>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9" w:name="zca5cfb9a7c3944589b8e4349b88e45f7"/>
      <w:bookmarkStart w:id="340" w:name="zca5cfb9a7c3944589b8e4349b88e45f7"/>
      <w:bookmarkEnd w:id="340"/>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consolidated financial statements, and other financial information included in this annual report, fairly present in all material respects the financial condition, consolidated results of operations and consolidated cash flows of the registrant as of, and for, the periods presented in this annual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1" w:name="zf5b64207b87d48cf869b3e2b11077d3f"/>
      <w:bookmarkStart w:id="342" w:name="zf5b64207b87d48cf869b3e2b11077d3f"/>
      <w:bookmarkEnd w:id="342"/>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3" w:name="zb685c6080cdf4055bdcae9b3ebf891a5"/>
      <w:bookmarkStart w:id="344" w:name="zb685c6080cdf4055bdcae9b3ebf891a5"/>
      <w:bookmarkEnd w:id="344"/>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5" w:name="z7e88efcde1e74426a0fda729bb0ba584"/>
      <w:bookmarkStart w:id="346" w:name="z7e88efcde1e74426a0fda729bb0ba584"/>
      <w:bookmarkEnd w:id="346"/>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7" w:name="z115dce62ff1840b2b820e139b8dc264f"/>
      <w:bookmarkStart w:id="348" w:name="z115dce62ff1840b2b820e139b8dc264f"/>
      <w:bookmarkEnd w:id="348"/>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c)</w:t>
            </w:r>
          </w:p>
        </w:tc>
        <w:tc>
          <w:tcPr>
            <w:tcW w:w="100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9" w:name="za91aa73aa146464086b94dca0499731a"/>
      <w:bookmarkStart w:id="350" w:name="za91aa73aa146464086b94dca0499731a"/>
      <w:bookmarkEnd w:id="350"/>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d)</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1" w:name="zaefac4a5f82d4c5a942d49a9fe0b8cce"/>
      <w:bookmarkStart w:id="352" w:name="zaefac4a5f82d4c5a942d49a9fe0b8cce"/>
      <w:bookmarkEnd w:id="352"/>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3" w:name="z18b3ad02f83648369077b976a68d23f9"/>
      <w:bookmarkStart w:id="354" w:name="z18b3ad02f83648369077b976a68d23f9"/>
      <w:bookmarkEnd w:id="354"/>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5" w:name="z02e2600fcb77496f93b6be78f01d0b4b"/>
      <w:bookmarkStart w:id="356" w:name="z02e2600fcb77496f93b6be78f01d0b4b"/>
      <w:bookmarkEnd w:id="356"/>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b)</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both"/>
        <w:rPr/>
      </w:pPr>
      <w:r>
        <w:rPr/>
        <w:t>  </w:t>
      </w:r>
    </w:p>
    <w:p>
      <w:pPr>
        <w:pStyle w:val="Normal"/>
        <w:bidi w:val="0"/>
        <w:spacing w:before="0" w:after="0"/>
        <w:jc w:val="left"/>
        <w:rPr>
          <w:sz w:val="4"/>
          <w:szCs w:val="4"/>
        </w:rPr>
      </w:pPr>
      <w:r>
        <w:rPr>
          <w:sz w:val="4"/>
          <w:szCs w:val="4"/>
        </w:rPr>
      </w:r>
      <w:bookmarkStart w:id="357" w:name="zc883ee968e4a404e9f4fd5f52221f0c3"/>
      <w:bookmarkStart w:id="358" w:name="zc883ee968e4a404e9f4fd5f52221f0c3"/>
      <w:bookmarkEnd w:id="358"/>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Dated: February 19, 2025</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ELIZABETH L. HOUGEN</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7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right"/>
        <w:rPr>
          <w:rFonts w:ascii="Times New Roman;Times;serif" w:hAnsi="Times New Roman;Times;serif"/>
          <w:b/>
          <w:sz w:val="20"/>
        </w:rPr>
      </w:pPr>
      <w:r>
        <w:rPr>
          <w:rFonts w:ascii="Times New Roman;Times;serif" w:hAnsi="Times New Roman;Times;serif"/>
          <w:b/>
          <w:sz w:val="20"/>
        </w:rPr>
        <w:t>Exhibit 32.1</w:t>
      </w:r>
      <w:r>
        <w:br w:type="page"/>
      </w:r>
    </w:p>
    <w:p>
      <w:pPr>
        <w:pStyle w:val="TextBody"/>
        <w:bidi w:val="0"/>
        <w:spacing w:before="0" w:after="0"/>
        <w:jc w:val="left"/>
        <w:rPr/>
      </w:pPr>
      <w:r>
        <w:rPr/>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Brett P. Monia, the Chief Executive Officer of Ionis Pharmaceuticals, Inc., (the “Company”), and Elizabeth L. Hougen, the Chief Financial Officer of the Company, each hereby certifies that, to the best of his or her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9" w:name="z212a9b8e7efd47fa8f92c69dbb3b9d99"/>
      <w:bookmarkStart w:id="360" w:name="z212a9b8e7efd47fa8f92c69dbb3b9d99"/>
      <w:bookmarkEnd w:id="360"/>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Company’s Annual Report on Form 10-K for the year ended December 31, 2024, to which this Certification is attached as Exhibit 32.1 (the “Annual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1" w:name="ze053fb4a912143529096b579c29c69cf"/>
      <w:bookmarkStart w:id="362" w:name="ze053fb4a912143529096b579c29c69cf"/>
      <w:bookmarkEnd w:id="362"/>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tc>
      </w:tr>
    </w:tbl>
    <w:p>
      <w:pPr>
        <w:pStyle w:val="TextBody"/>
        <w:bidi w:val="0"/>
        <w:spacing w:before="0" w:after="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3" w:name="z56cf60d6aaef4f51b00aac6edbfc2914"/>
      <w:bookmarkStart w:id="364" w:name="z56cf60d6aaef4f51b00aac6edbfc2914"/>
      <w:bookmarkEnd w:id="364"/>
    </w:p>
    <w:tbl>
      <w:tblPr>
        <w:tblW w:w="4615" w:type="dxa"/>
        <w:jc w:val="left"/>
        <w:tblInd w:w="0" w:type="dxa"/>
        <w:tblLayout w:type="fixed"/>
        <w:tblCellMar>
          <w:top w:w="0" w:type="dxa"/>
          <w:left w:w="0" w:type="dxa"/>
          <w:bottom w:w="0" w:type="dxa"/>
          <w:right w:w="0" w:type="dxa"/>
        </w:tblCellMar>
      </w:tblPr>
      <w:tblGrid>
        <w:gridCol w:w="2105"/>
        <w:gridCol w:w="60"/>
        <w:gridCol w:w="2375"/>
        <w:gridCol w:w="75"/>
      </w:tblGrid>
      <w:tr>
        <w:trPr/>
        <w:tc>
          <w:tcPr>
            <w:tcW w:w="2105" w:type="dxa"/>
            <w:tcBorders/>
            <w:vAlign w:val="center"/>
          </w:tcPr>
          <w:p>
            <w:pPr>
              <w:pStyle w:val="TableContents"/>
              <w:bidi w:val="0"/>
              <w:spacing w:before="0" w:after="0"/>
              <w:jc w:val="left"/>
              <w:rPr>
                <w:rFonts w:ascii="Times New Roman;Times;serif" w:hAnsi="Times New Roman;Times;serif"/>
                <w:sz w:val="20"/>
              </w:rPr>
            </w:pPr>
            <w:bookmarkStart w:id="365" w:name="z67c7d4b1a5524f7095e3a56b8ca645e7"/>
            <w:bookmarkEnd w:id="365"/>
            <w:r>
              <w:rPr>
                <w:rFonts w:ascii="Times New Roman;Times;serif" w:hAnsi="Times New Roman;Times;serif"/>
                <w:sz w:val="20"/>
              </w:rPr>
              <w:t>Dated: February 19, 2025</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BRETT P. MONIA</w:t>
            </w:r>
          </w:p>
        </w:tc>
        <w:tc>
          <w:tcPr>
            <w:tcW w:w="60" w:type="dxa"/>
            <w:tcBorders/>
            <w:vAlign w:val="center"/>
          </w:tcPr>
          <w:p>
            <w:pPr>
              <w:pStyle w:val="TableContents"/>
              <w:bidi w:val="0"/>
              <w:spacing w:before="0" w:after="0"/>
              <w:jc w:val="left"/>
              <w:rPr/>
            </w:pPr>
            <w:r>
              <w:rPr/>
              <w:t> </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ELIZABETH L. HOUGEN</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Brett P. Monia, Ph.D.</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Elizabeth L. Hougen</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Executive Officer</w:t>
            </w:r>
          </w:p>
        </w:tc>
        <w:tc>
          <w:tcPr>
            <w:tcW w:w="6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rFonts w:ascii="Times New Roman;Times;serif" w:hAnsi="Times New Roman;Times;serif"/>
                <w:i/>
                <w:sz w:val="20"/>
              </w:rPr>
            </w:pPr>
            <w:r>
              <w:rPr>
                <w:rFonts w:ascii="Times New Roman;Times;serif" w:hAnsi="Times New Roman;Times;serif"/>
                <w:i/>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Ionis Pharmaceuticals, Inc. and will be retained by Ionis Pharmaceuticals, Inc. and furnished to the Securities and Exchange Commission or its staff upon request.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certification accompanies the Form 10-K to which it relates, is not deemed filed with the Securities and Exchange Commission and is not to be incorporated by reference into any filing of Ionis Pharmaceuticals,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874015/000119312520235408/d75253dex21.htm" TargetMode="External"/><Relationship Id="rId7" Type="http://schemas.openxmlformats.org/officeDocument/2006/relationships/hyperlink" Target="https://www.sec.gov/Archives/edgar/data/874015/000087401518000047/exhibit3_1.htm" TargetMode="External"/><Relationship Id="rId8" Type="http://schemas.openxmlformats.org/officeDocument/2006/relationships/hyperlink" Target="https://www.sec.gov/Archives/edgar/data/874015/000114036114017588/formdef14a.htm" TargetMode="External"/><Relationship Id="rId9" Type="http://schemas.openxmlformats.org/officeDocument/2006/relationships/hyperlink" Target="https://www.sec.gov/Archives/edgar/data/874015/000114036115045083/ex3_1.htm" TargetMode="External"/><Relationship Id="rId10" Type="http://schemas.openxmlformats.org/officeDocument/2006/relationships/hyperlink" Target="https://www.sec.gov/Archives/edgar/data/874015/000114036121010402/brhc10022399_ex3-1.htm" TargetMode="External"/><Relationship Id="rId11" Type="http://schemas.openxmlformats.org/officeDocument/2006/relationships/hyperlink" Target="https://www.sec.gov/Archives/edgar/data/874015/000087401522000079/exhibit4-11.htm" TargetMode="External"/><Relationship Id="rId12" Type="http://schemas.openxmlformats.org/officeDocument/2006/relationships/hyperlink" Target="https://www.sec.gov/Archives/edgar/data/874015/000091205700053343/a2032851zex-4_2.txt" TargetMode="External"/><Relationship Id="rId13" Type="http://schemas.openxmlformats.org/officeDocument/2006/relationships/hyperlink" Target="https://www.sec.gov/Archives/edgar/data/874015/000087401518000047/exhibit4_2.htm" TargetMode="External"/><Relationship Id="rId14" Type="http://schemas.openxmlformats.org/officeDocument/2006/relationships/hyperlink" Target="https://www.sec.gov/Archives/edgar/data/874015/000114036119022393/ex99_3.htm" TargetMode="External"/><Relationship Id="rId15" Type="http://schemas.openxmlformats.org/officeDocument/2006/relationships/hyperlink" Target="https://www.sec.gov/Archives/edgar/data/874015/000119312521113586/d158901dex41.htm" TargetMode="External"/><Relationship Id="rId16" Type="http://schemas.openxmlformats.org/officeDocument/2006/relationships/hyperlink" Target="https://www.sec.gov/Archives/edgar/data/874015/000119312521113586/d158901dex102.htm" TargetMode="External"/><Relationship Id="rId17" Type="http://schemas.openxmlformats.org/officeDocument/2006/relationships/hyperlink" Target="https://www.sec.gov/Archives/edgar/data/874015/000119312521113586/d158901dex101.htm" TargetMode="External"/><Relationship Id="rId18" Type="http://schemas.openxmlformats.org/officeDocument/2006/relationships/hyperlink" Target="https://www.sec.gov/Archives/edgar/data/874015/000119312523165273/d511748dex41.htm" TargetMode="External"/><Relationship Id="rId19" Type="http://schemas.openxmlformats.org/officeDocument/2006/relationships/hyperlink" Target="https://www.sec.gov/Archives/edgar/data/874015/000087401524000142/ex10-1.htm" TargetMode="External"/><Relationship Id="rId20" Type="http://schemas.openxmlformats.org/officeDocument/2006/relationships/hyperlink" Target="https://www.sec.gov/Archives/edgar/data/874015/000087401523000136/ex10-1.htm" TargetMode="External"/><Relationship Id="rId21" Type="http://schemas.openxmlformats.org/officeDocument/2006/relationships/hyperlink" Target="https://www.sec.gov/Archives/edgar/data/874015/000087401522000104/ex10-1.htm" TargetMode="External"/><Relationship Id="rId22" Type="http://schemas.openxmlformats.org/officeDocument/2006/relationships/hyperlink" Target="https://www.sec.gov/Archives/edgar/data/874015/000087401524000116/exhibit10-3.htm" TargetMode="External"/><Relationship Id="rId23" Type="http://schemas.openxmlformats.org/officeDocument/2006/relationships/hyperlink" Target="https://www.sec.gov/Archives/edgar/data/874015/000087401518000047/exhibit10_4.htm" TargetMode="External"/><Relationship Id="rId24" Type="http://schemas.openxmlformats.org/officeDocument/2006/relationships/hyperlink" Target="https://www.sec.gov/Archives/edgar/data/874015/000114036119005627/ex10_2.htm" TargetMode="External"/><Relationship Id="rId25" Type="http://schemas.openxmlformats.org/officeDocument/2006/relationships/hyperlink" Target="https://www.sec.gov/Archives/edgar/data/874015/000087401523000136/ex10-2.htm" TargetMode="External"/><Relationship Id="rId26" Type="http://schemas.openxmlformats.org/officeDocument/2006/relationships/hyperlink" Target="https://www.sec.gov/Archives/edgar/data/874015/000087401523000105/exhibit10-10.htm" TargetMode="External"/><Relationship Id="rId27" Type="http://schemas.openxmlformats.org/officeDocument/2006/relationships/hyperlink" Target="https://www.sec.gov/Archives/edgar/data/874015/000087401523000136/ex10-3.htm" TargetMode="External"/><Relationship Id="rId28" Type="http://schemas.openxmlformats.org/officeDocument/2006/relationships/hyperlink" Target="https://www.sec.gov/ix?doc=/Archives/edgar/data/874015/000114036124022103/ny20009042x1_def14a.htm" TargetMode="External"/><Relationship Id="rId29" Type="http://schemas.openxmlformats.org/officeDocument/2006/relationships/hyperlink" Target="https://www.sec.gov/Archives/edgar/data/874015/000087401523000105/exhibit10-13.htm" TargetMode="External"/><Relationship Id="rId30" Type="http://schemas.openxmlformats.org/officeDocument/2006/relationships/hyperlink" Target="https://www.sec.gov/Archives/edgar/data/874015/000087401523000105/exhibit10-14.htm" TargetMode="External"/><Relationship Id="rId31" Type="http://schemas.openxmlformats.org/officeDocument/2006/relationships/hyperlink" Target="https://www.sec.gov/Archives/edgar/data/874015/000087401522000079/exhibit10-19.htm" TargetMode="External"/><Relationship Id="rId32" Type="http://schemas.openxmlformats.org/officeDocument/2006/relationships/hyperlink" Target="https://www.sec.gov/Archives/edgar/data/874015/000087401523000105/exhibit10-16.htm" TargetMode="External"/><Relationship Id="rId33" Type="http://schemas.openxmlformats.org/officeDocument/2006/relationships/hyperlink" Target="https://www.sec.gov/Archives/edgar/data/874015/000114036120030055/brhc10018560_ex99-1.htm" TargetMode="External"/><Relationship Id="rId34" Type="http://schemas.openxmlformats.org/officeDocument/2006/relationships/hyperlink" Target="https://www.sec.gov/Archives/edgar/data/874015/000114036120030055/brhc10018560_ex99-2.htm" TargetMode="External"/><Relationship Id="rId35" Type="http://schemas.openxmlformats.org/officeDocument/2006/relationships/hyperlink" Target="https://www.sec.gov/Archives/edgar/data/874015/000114036120030055/brhc10018560_ex99-3.htm" TargetMode="External"/><Relationship Id="rId36" Type="http://schemas.openxmlformats.org/officeDocument/2006/relationships/hyperlink" Target="https://www.sec.gov/Archives/edgar/data/874015/000114036120030055/brhc10018560_ex99-4.htm" TargetMode="External"/><Relationship Id="rId37" Type="http://schemas.openxmlformats.org/officeDocument/2006/relationships/hyperlink" Target="https://www.sec.gov/Archives/edgar/data/874015/000114036117028398/ex10_2.htm" TargetMode="External"/><Relationship Id="rId38" Type="http://schemas.openxmlformats.org/officeDocument/2006/relationships/hyperlink" Target="https://www.sec.gov/Archives/edgar/data/874015/000114036117028398/ex10_4.htm" TargetMode="External"/><Relationship Id="rId39" Type="http://schemas.openxmlformats.org/officeDocument/2006/relationships/hyperlink" Target="https://www.sec.gov/Archives/edgar/data/874015/000087401523000105/exhibit10-24.htm" TargetMode="External"/><Relationship Id="rId40" Type="http://schemas.openxmlformats.org/officeDocument/2006/relationships/hyperlink" Target="https://www.sec.gov/Archives/edgar/data/874015/000087401523000105/exhibit10-25.htm" TargetMode="External"/><Relationship Id="rId41" Type="http://schemas.openxmlformats.org/officeDocument/2006/relationships/hyperlink" Target="https://www.sec.gov/Archives/edgar/data/874015/000087401523000186/ex10-2.htm" TargetMode="External"/><Relationship Id="rId42" Type="http://schemas.openxmlformats.org/officeDocument/2006/relationships/hyperlink" Target="https://www.sec.gov/Archives/edgar/data/874015/000087401523000105/exhibit10-26.htm" TargetMode="External"/><Relationship Id="rId43" Type="http://schemas.openxmlformats.org/officeDocument/2006/relationships/hyperlink" Target="https://www.sec.gov/Archives/edgar/data/874015/000087401523000209/ex10-2.htm" TargetMode="External"/><Relationship Id="rId44" Type="http://schemas.openxmlformats.org/officeDocument/2006/relationships/hyperlink" Target="https://www.sec.gov/Archives/edgar/data/874015/000087401524000116/exhibit10-25.htm" TargetMode="External"/><Relationship Id="rId45" Type="http://schemas.openxmlformats.org/officeDocument/2006/relationships/hyperlink" Target="https://www.sec.gov/Archives/edgar/data/874015/000087401524000187/ex10-1.htm" TargetMode="External"/><Relationship Id="rId46" Type="http://schemas.openxmlformats.org/officeDocument/2006/relationships/hyperlink" Target="https://www.sec.gov/Archives/edgar/data/874015/000087401523000105/exhibit10-27.htm" TargetMode="External"/><Relationship Id="rId47" Type="http://schemas.openxmlformats.org/officeDocument/2006/relationships/hyperlink" Target="https://www.sec.gov/Archives/edgar/data/874015/000087401523000105/exhibit10-28.htm" TargetMode="External"/><Relationship Id="rId48" Type="http://schemas.openxmlformats.org/officeDocument/2006/relationships/hyperlink" Target="https://www.sec.gov/Archives/edgar/data/874015/000087401523000105/exhibit10-29.htm" TargetMode="External"/><Relationship Id="rId49" Type="http://schemas.openxmlformats.org/officeDocument/2006/relationships/hyperlink" Target="https://www.sec.gov/Archives/edgar/data/874015/000087401514000095/ex10_1.htm" TargetMode="External"/><Relationship Id="rId50" Type="http://schemas.openxmlformats.org/officeDocument/2006/relationships/hyperlink" Target="https://www.sec.gov/Archives/edgar/data/874015/000110465910026849/a10-5958_1ex10d5.htm" TargetMode="External"/><Relationship Id="rId51" Type="http://schemas.openxmlformats.org/officeDocument/2006/relationships/hyperlink" Target="https://www.sec.gov/Archives/edgar/data/874015/000110465911044376/a11-13864_1ex10d1.htm" TargetMode="External"/><Relationship Id="rId52" Type="http://schemas.openxmlformats.org/officeDocument/2006/relationships/hyperlink" Target="https://www.sec.gov/Archives/edgar/data/874015/000110465913016208/a12-28450_1ex10d44.htm" TargetMode="External"/><Relationship Id="rId53" Type="http://schemas.openxmlformats.org/officeDocument/2006/relationships/hyperlink" Target="https://www.sec.gov/Archives/edgar/data/874015/000114036114030549/ex10_1.htm" TargetMode="External"/><Relationship Id="rId54" Type="http://schemas.openxmlformats.org/officeDocument/2006/relationships/hyperlink" Target="https://www.sec.gov/Archives/edgar/data/874015/000114036114030549/ex10_2.htm" TargetMode="External"/><Relationship Id="rId55" Type="http://schemas.openxmlformats.org/officeDocument/2006/relationships/hyperlink" Target="https://www.sec.gov/Archives/edgar/data/874015/000114036114030549/ex10_3.htm" TargetMode="External"/><Relationship Id="rId56" Type="http://schemas.openxmlformats.org/officeDocument/2006/relationships/hyperlink" Target="https://www.sec.gov/Archives/edgar/data/874015/000087401515000082/ex10_2.htm" TargetMode="External"/><Relationship Id="rId57" Type="http://schemas.openxmlformats.org/officeDocument/2006/relationships/hyperlink" Target="https://www.sec.gov/Archives/edgar/data/874015/000087401516000118/ex10_2.htm" TargetMode="External"/><Relationship Id="rId58" Type="http://schemas.openxmlformats.org/officeDocument/2006/relationships/hyperlink" Target="https://www.sec.gov/Archives/edgar/data/874015/000087401519000130/ex10_2.htm" TargetMode="External"/><Relationship Id="rId59" Type="http://schemas.openxmlformats.org/officeDocument/2006/relationships/hyperlink" Target="https://www.sec.gov/Archives/edgar/data/874015/000087401514000095/ex10_2.htm" TargetMode="External"/><Relationship Id="rId60" Type="http://schemas.openxmlformats.org/officeDocument/2006/relationships/hyperlink" Target="https://www.sec.gov/Archives/edgar/data/874015/000087401514000095/ex10_3.htm" TargetMode="External"/><Relationship Id="rId61" Type="http://schemas.openxmlformats.org/officeDocument/2006/relationships/hyperlink" Target="https://www.sec.gov/Archives/edgar/data/874015/000110465912034636/a12-6491_1ex10d1.htm" TargetMode="External"/><Relationship Id="rId62" Type="http://schemas.openxmlformats.org/officeDocument/2006/relationships/hyperlink" Target="https://www.sec.gov/Archives/edgar/data/874015/000114036115009498/exhibit10_59.htm" TargetMode="External"/><Relationship Id="rId63" Type="http://schemas.openxmlformats.org/officeDocument/2006/relationships/hyperlink" Target="https://www.sec.gov/Archives/edgar/data/874015/000110465913016208/a12-28450_1ex10d45.htm" TargetMode="External"/><Relationship Id="rId64" Type="http://schemas.openxmlformats.org/officeDocument/2006/relationships/hyperlink" Target="https://www.sec.gov/Archives/edgar/data/874015/000110465913081234/a13-19600_1ex10d2.htm" TargetMode="External"/><Relationship Id="rId65" Type="http://schemas.openxmlformats.org/officeDocument/2006/relationships/hyperlink" Target="https://www.sec.gov/Archives/edgar/data/874015/000114036115009498/exhibit10_61.htm" TargetMode="External"/><Relationship Id="rId66" Type="http://schemas.openxmlformats.org/officeDocument/2006/relationships/hyperlink" Target="https://www.sec.gov/Archives/edgar/data/874015/000087401516000118/ex10_1.htm" TargetMode="External"/><Relationship Id="rId67" Type="http://schemas.openxmlformats.org/officeDocument/2006/relationships/hyperlink" Target="https://www.sec.gov/Archives/edgar/data/874015/000087401519000045/exhibit10_70.htm" TargetMode="External"/><Relationship Id="rId68" Type="http://schemas.openxmlformats.org/officeDocument/2006/relationships/hyperlink" Target="https://www.sec.gov/Archives/edgar/data/874015/000110465913060361/a13-13715_1ex10d1.htm" TargetMode="External"/><Relationship Id="rId69" Type="http://schemas.openxmlformats.org/officeDocument/2006/relationships/hyperlink" Target="https://www.sec.gov/Archives/edgar/data/874015/000087401515000057/ex10_2.htm" TargetMode="External"/><Relationship Id="rId70" Type="http://schemas.openxmlformats.org/officeDocument/2006/relationships/hyperlink" Target="https://www.sec.gov/Archives/edgar/data/874015/000087401515000057/ex10_1.htm" TargetMode="External"/><Relationship Id="rId71" Type="http://schemas.openxmlformats.org/officeDocument/2006/relationships/hyperlink" Target="https://www.sec.gov/Archives/edgar/data/874015/000087401515000082/ex10_3.htm" TargetMode="External"/><Relationship Id="rId72" Type="http://schemas.openxmlformats.org/officeDocument/2006/relationships/hyperlink" Target="https://www.sec.gov/Archives/edgar/data/874015/000087401515000082/ex10_1.htm" TargetMode="External"/><Relationship Id="rId73" Type="http://schemas.openxmlformats.org/officeDocument/2006/relationships/hyperlink" Target="https://www.sec.gov/Archives/edgar/data/874015/000087401519000045/exhibit10_69.htm" TargetMode="External"/><Relationship Id="rId74" Type="http://schemas.openxmlformats.org/officeDocument/2006/relationships/hyperlink" Target="https://www.sec.gov/Archives/edgar/data/874015/000087401520000115/ex10_2.htm" TargetMode="External"/><Relationship Id="rId75" Type="http://schemas.openxmlformats.org/officeDocument/2006/relationships/hyperlink" Target="https://www.sec.gov/Archives/edgar/data/874015/000087401520000115/ex10_2.htm" TargetMode="External"/><Relationship Id="rId76" Type="http://schemas.openxmlformats.org/officeDocument/2006/relationships/hyperlink" Target="https://www.sec.gov/Archives/edgar/data/874015/000087401520000115/ex10_2.htm" TargetMode="External"/><Relationship Id="rId77" Type="http://schemas.openxmlformats.org/officeDocument/2006/relationships/hyperlink" Target="https://www.sec.gov/Archives/edgar/data/874015/000087401521000056/exhibit10_79.htm" TargetMode="External"/><Relationship Id="rId78" Type="http://schemas.openxmlformats.org/officeDocument/2006/relationships/hyperlink" Target="https://www.sec.gov/Archives/edgar/data/874015/000087401521000056/exhibit10_79.htm" TargetMode="External"/><Relationship Id="rId79" Type="http://schemas.openxmlformats.org/officeDocument/2006/relationships/hyperlink" Target="https://www.sec.gov/Archives/edgar/data/874015/000087401521000056/exhibit10_79.htm" TargetMode="External"/><Relationship Id="rId80" Type="http://schemas.openxmlformats.org/officeDocument/2006/relationships/hyperlink" Target="https://www.sec.gov/Archives/edgar/data/1662524/000104746917001995/a2231300zex-10_7.htm" TargetMode="External"/><Relationship Id="rId81" Type="http://schemas.openxmlformats.org/officeDocument/2006/relationships/hyperlink" Target="https://www.sec.gov/Archives/edgar/data/1662524/000156459019018117/akca-ex101_176.htm" TargetMode="External"/><Relationship Id="rId82" Type="http://schemas.openxmlformats.org/officeDocument/2006/relationships/hyperlink" Target="https://www.sec.gov/Archives/edgar/data/874015/000087401517000033/ex10_2.htm" TargetMode="External"/><Relationship Id="rId83" Type="http://schemas.openxmlformats.org/officeDocument/2006/relationships/hyperlink" Target="https://www.sec.gov/Archives/edgar/data/874015/000087401518000047/exhibit10_17.htm" TargetMode="External"/><Relationship Id="rId84" Type="http://schemas.openxmlformats.org/officeDocument/2006/relationships/hyperlink" Target="https://www.sec.gov/Archives/edgar/data/874015/000087401518000105/ex10_1.htm" TargetMode="External"/><Relationship Id="rId85" Type="http://schemas.openxmlformats.org/officeDocument/2006/relationships/hyperlink" Target="https://www.sec.gov/Archives/edgar/data/874015/000087401519000130/ex10_1.htm" TargetMode="External"/><Relationship Id="rId86" Type="http://schemas.openxmlformats.org/officeDocument/2006/relationships/hyperlink" Target="https://www.sec.gov/Archives/edgar/data/874015/000087401521000056/exhibit10_81.htm" TargetMode="External"/><Relationship Id="rId87" Type="http://schemas.openxmlformats.org/officeDocument/2006/relationships/hyperlink" Target="https://www.sec.gov/Archives/edgar/data/874015/000087401521000056/exhibit10_81.htm" TargetMode="External"/><Relationship Id="rId88" Type="http://schemas.openxmlformats.org/officeDocument/2006/relationships/hyperlink" Target="https://www.sec.gov/Archives/edgar/data/874015/000087401521000056/exhibit10_81.htm" TargetMode="External"/><Relationship Id="rId89" Type="http://schemas.openxmlformats.org/officeDocument/2006/relationships/hyperlink" Target="https://www.sec.gov/Archives/edgar/data/874015/000087401519000045/exhibit10_67.htm" TargetMode="External"/><Relationship Id="rId90" Type="http://schemas.openxmlformats.org/officeDocument/2006/relationships/hyperlink" Target="https://www.sec.gov/Archives/edgar/data/874015/000087401522000148/ex10-1.htm" TargetMode="External"/><Relationship Id="rId91" Type="http://schemas.openxmlformats.org/officeDocument/2006/relationships/hyperlink" Target="https://www.sec.gov/Archives/edgar/data/874015/000087401519000045/exhibit10_68.htm" TargetMode="External"/><Relationship Id="rId92" Type="http://schemas.openxmlformats.org/officeDocument/2006/relationships/hyperlink" Target="https://www.sec.gov/Archives/edgar/data/874015/000114036117009823/exhibit10_61.htm" TargetMode="External"/><Relationship Id="rId93" Type="http://schemas.openxmlformats.org/officeDocument/2006/relationships/hyperlink" Target="https://www.sec.gov/Archives/edgar/data/874015/000114036119014492/ex10_1.htm" TargetMode="External"/><Relationship Id="rId94" Type="http://schemas.openxmlformats.org/officeDocument/2006/relationships/hyperlink" Target="https://www.sec.gov/Archives/edgar/data/874015/000087401523000209/ex10-1.htm" TargetMode="External"/><Relationship Id="rId95" Type="http://schemas.openxmlformats.org/officeDocument/2006/relationships/hyperlink" Target="https://www.sec.gov/Archives/edgar/data/874015/000087401523000209/ex10-3.htm" TargetMode="External"/><Relationship Id="rId96" Type="http://schemas.openxmlformats.org/officeDocument/2006/relationships/hyperlink" Target="https://www.sec.gov/Archives/edgar/data/874015/000087401520000115/ex10_1.htm" TargetMode="External"/><Relationship Id="rId97" Type="http://schemas.openxmlformats.org/officeDocument/2006/relationships/hyperlink" Target="https://www.sec.gov/Archives/edgar/data/874015/000087401521000166/ex10-2.htm" TargetMode="External"/><Relationship Id="rId98" Type="http://schemas.openxmlformats.org/officeDocument/2006/relationships/hyperlink" Target="https://www.sec.gov/Archives/edgar/data/874015/000087401522000079/exhibit10-83.htm" TargetMode="External"/><Relationship Id="rId99" Type="http://schemas.openxmlformats.org/officeDocument/2006/relationships/hyperlink" Target="https://www.sec.gov/Archives/edgar/data/874015/000087401522000168/ex10-1.htm" TargetMode="External"/><Relationship Id="rId100" Type="http://schemas.openxmlformats.org/officeDocument/2006/relationships/hyperlink" Target="https://www.sec.gov/Archives/edgar/data/874015/000087401523000186/ex10-1.htm" TargetMode="External"/><Relationship Id="rId101" Type="http://schemas.openxmlformats.org/officeDocument/2006/relationships/hyperlink" Target="https://www.sec.gov/Archives/edgar/data/874015/000087401521000166/ex10-1.htm" TargetMode="External"/><Relationship Id="rId102" Type="http://schemas.openxmlformats.org/officeDocument/2006/relationships/hyperlink" Target="https://www.sec.gov/Archives/edgar/data/874015/000087401522000079/exhibit10-84.htm" TargetMode="External"/><Relationship Id="rId103" Type="http://schemas.openxmlformats.org/officeDocument/2006/relationships/hyperlink" Target="https://www.sec.gov/Archives/edgar/data/874015/000087401523000186/ex10-3.htm" TargetMode="External"/><Relationship Id="rId104" Type="http://schemas.openxmlformats.org/officeDocument/2006/relationships/hyperlink" Target="https://www.sec.gov/Archives/edgar/data/874015/000087401523000105/exhibit10-80.htm" TargetMode="External"/><Relationship Id="rId105" Type="http://schemas.openxmlformats.org/officeDocument/2006/relationships/hyperlink" Target="https://www.sec.gov/Archives/edgar/data/874015/000087401523000105/exhibit10-81.htm" TargetMode="External"/><Relationship Id="rId106" Type="http://schemas.openxmlformats.org/officeDocument/2006/relationships/hyperlink" Target="https://www.sec.gov/Archives/edgar/data/874015/000087401524000187/ex10-2.htm" TargetMode="External"/><Relationship Id="rId107" Type="http://schemas.openxmlformats.org/officeDocument/2006/relationships/hyperlink" Target="https://www.sec.gov/Archives/edgar/data/874015/000087401524000116/exhibit21-1.htm" TargetMode="External"/><Relationship Id="rId108" Type="http://schemas.openxmlformats.org/officeDocument/2006/relationships/hyperlink" Target="https://www.sec.gov/Archives/edgar/data/874015/000087401524000116/exhibit97.htm" TargetMode="External"/><Relationship Id="rId109" Type="http://schemas.openxmlformats.org/officeDocument/2006/relationships/fontTable" Target="fontTable.xml"/><Relationship Id="rId1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89232</Words>
  <Characters>500231</Characters>
  <CharactersWithSpaces>588555</CharactersWithSpaces>
  <Paragraphs>11971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