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7, 2024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IONIS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516" w:right="339" w:bottom="1440" w:gutter="0" w:footer="0" w:header="0"/>
        </w:sectPr>
      </w:pPr>
    </w:p>
    <w:p>
      <w:pPr>
        <w:spacing w:after="0" w:line="20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000-19125</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33-0336973</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80" w:space="720"/>
            <w:col w:w="40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2855 Gazelle Court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Carlsbad, CA 92010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(760) 931-9200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Trading symbol</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40" w:type="dxa"/>
            <w:vAlign w:val="bottom"/>
          </w:tcPr>
          <w:p>
            <w:pPr>
              <w:spacing w:after="0"/>
              <w:rPr>
                <w:sz w:val="20"/>
                <w:szCs w:val="20"/>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“IONS”</w:t>
            </w:r>
          </w:p>
        </w:tc>
        <w:tc>
          <w:tcPr>
            <w:tcW w:w="500" w:type="dxa"/>
            <w:vAlign w:val="bottom"/>
          </w:tcPr>
          <w:p>
            <w:pPr>
              <w:spacing w:after="0"/>
              <w:rPr>
                <w:sz w:val="20"/>
                <w:szCs w:val="20"/>
                <w:color w:val="auto"/>
              </w:rPr>
            </w:pPr>
          </w:p>
        </w:tc>
        <w:tc>
          <w:tcPr>
            <w:tcW w:w="4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121" w:lineRule="exact"/>
        <w:rPr>
          <w:sz w:val="24"/>
          <w:szCs w:val="24"/>
          <w:color w:val="auto"/>
        </w:rPr>
      </w:pPr>
    </w:p>
    <w:p>
      <w:pPr>
        <w:jc w:val="right"/>
        <w:spacing w:after="0" w:line="207" w:lineRule="exact"/>
        <w:tabs>
          <w:tab w:leader="none" w:pos="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7, 2024, Ionis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the Company’s financial results for the quarter ended March 31, 2024. In addition to disclosing results that are determined in accordance with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the Company also discloses pro forma or non-GAAP results of operations, which are adjusted from GAAP to exclude non-cash compensation expense related to equity awards and the related tax effects. The Company is presenting pro forma information excluding non-cash compensation expense and the related tax effects because the Company believes it better enables financial statement users to assess and compare its historical performance and project its future operating results and cash flows. A copy of the release is furnished with this report as an exhibit pursuant to “Item 2.02. Results of Operations and Financial Condition” of Form 8-K in accordance with SEC Release Nos. 33-8216 and 34-47583.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shall not be deemed “filed” for purposes of Section 18 of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Exhibit No.  Description</w:t>
      </w:r>
    </w:p>
    <w:p>
      <w:pPr>
        <w:spacing w:after="0" w:line="31"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May 7, 2024.</w:t>
      </w:r>
    </w:p>
    <w:p>
      <w:pPr>
        <w:spacing w:after="0" w:line="207" w:lineRule="exact"/>
        <w:rPr>
          <w:sz w:val="20"/>
          <w:szCs w:val="20"/>
          <w:color w:val="auto"/>
        </w:rPr>
      </w:pPr>
    </w:p>
    <w:p>
      <w:pPr>
        <w:ind w:left="44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onis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7, 2024</w:t>
      </w:r>
      <w:r>
        <w:rPr>
          <w:sz w:val="20"/>
          <w:szCs w:val="20"/>
          <w:color w:val="auto"/>
        </w:rPr>
        <w:tab/>
      </w:r>
      <w:r>
        <w:rPr>
          <w:rFonts w:ascii="Times New Roman" w:cs="Times New Roman" w:eastAsia="Times New Roman" w:hAnsi="Times New Roman"/>
          <w:sz w:val="18"/>
          <w:szCs w:val="18"/>
          <w:color w:val="auto"/>
        </w:rPr>
        <w:t>By: /s/ Patrick R.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atrick</w:t>
      </w:r>
      <w:r>
        <w:rPr>
          <w:rFonts w:ascii="Times New Roman" w:cs="Times New Roman" w:eastAsia="Times New Roman" w:hAnsi="Times New Roman"/>
          <w:sz w:val="18"/>
          <w:szCs w:val="18"/>
          <w:b w:val="1"/>
          <w:bCs w:val="1"/>
          <w:color w:val="auto"/>
        </w:rPr>
        <w:t xml:space="preserve"> R. O’N</w:t>
      </w:r>
      <w:r>
        <w:rPr>
          <w:rFonts w:ascii="Times New Roman" w:cs="Times New Roman" w:eastAsia="Times New Roman" w:hAnsi="Times New Roman"/>
          <w:sz w:val="12"/>
          <w:szCs w:val="12"/>
          <w:b w:val="1"/>
          <w:bCs w:val="1"/>
          <w:color w:val="auto"/>
        </w:rPr>
        <w:t>eil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Chief Legal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51585" cy="40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158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Ionis reports first quarter 2024 financial results</w:t>
      </w:r>
    </w:p>
    <w:p>
      <w:pPr>
        <w:spacing w:after="0" w:line="2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WAINUA</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xml:space="preserve"> launch on track; EU and Canada approval decisions expected this year</w:t>
      </w:r>
    </w:p>
    <w:p>
      <w:pPr>
        <w:spacing w:after="0" w:line="10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i w:val="1"/>
          <w:iCs w:val="1"/>
          <w:color w:val="auto"/>
        </w:rPr>
        <w:t>Olezarsen NDA submitted to FDA for FCS; preparing EU regulatory submission</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Positive Phase 3 donidalorsen data for HAE; preparing regulatory submissions</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On track to achieve 2024 financial guidance</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CARLSBAD, Calif., May 7, 2024 </w:t>
      </w:r>
      <w:r>
        <w:rPr>
          <w:rFonts w:ascii="Times New Roman" w:cs="Times New Roman" w:eastAsia="Times New Roman" w:hAnsi="Times New Roman"/>
          <w:sz w:val="18"/>
          <w:szCs w:val="18"/>
          <w:color w:val="auto"/>
        </w:rPr>
        <w:t>– Ionis Pharmaceuticals, Inc. (Nasdaq: IONS) (the “Company”), today reported financial results for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2024.</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“Ionis is off to a great start in 2024, as we continue to execute on our vision to bring better futures to people with serious diseases. The WAINUA launch for hereditary ATTR polyneuropathy is progressing well with AstraZeneca. And we are one step closer to our first independent launch with our NDA submission for olezarsen, which is supported by robust data positioning olezarsen to make a profound difference for people with FCS,” said Brett P. Monia, Ph.D., chief executive officer of Ionis. “We look forward to presenting positive Phase 3 donidalorsen data, along with data from our open-label extension and ‘switch’ studies in patients with HAE at EAACI later this month, setting the stage for Ionis’ second independent launch. Additionally, we have multiple upcoming data readouts from our mid-stage programs that, if positive, could advance into Phase 3 development, further strengthening our ability to deliver a steady cadence of potentially transformational medicines for years to 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First Quarter 2024 Summary Financial Results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146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16"/>
        </w:trPr>
        <w:tc>
          <w:tcPr>
            <w:tcW w:w="14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9"/>
              </w:rPr>
              <w:t>March 31,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4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r>
      <w:tr>
        <w:trPr>
          <w:trHeight w:val="216"/>
        </w:trPr>
        <w:tc>
          <w:tcPr>
            <w:tcW w:w="14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(amounts in millions)</w:t>
            </w: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4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14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on a non-GAAP basis</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14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4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on a non-GAAP basis</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Reconciliation of GAAP to non-GAAP basis contained later in this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first quarter of 2024 earned from numerous diverse sources, including a new source of royalty revenue with the launch of WAINUA in the U.S.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strategic investments to bring WAINUA, olezarsen and donidalorsen to patients drove increased operating expenses in the first quarter of 2024 compared to the same period last year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short-term investments of $2.2 billion as of March 31, 2024 enable continued investments to drive increasing value, including supporting our planned upcoming launches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Reaffirmed 2024 financial guidance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Marketed Medicines Highlights</w:t>
      </w:r>
    </w:p>
    <w:p>
      <w:pPr>
        <w:spacing w:after="0" w:line="229"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WAINUA for the treatment of adults with polyneuropathy of hereditary transthyretin-mediated amyloidosis (ATTRv-PN) generated sales of $5 million in the first partial quarter of launch resulting in royalty revenue of $1 million for Ionis in the first quarter of 2024</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SPINRAZA for the treatment of spinal muscular atrophy (SMA) generated global sales of $341 million resulting in royalty revenue of $38 million in the first quarter of 2024</w:t>
      </w:r>
    </w:p>
    <w:p>
      <w:pPr>
        <w:spacing w:after="0" w:line="162" w:lineRule="exact"/>
        <w:rPr>
          <w:sz w:val="20"/>
          <w:szCs w:val="20"/>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 presented new positive neurofilament light chain (NfL) biomarker data from the Phase 4 RESPOND study of SMA patients adding further evidence supporting the potential benefit of SPINRAZA in infants and toddlers who had unmet medical needs after treatment with gene therapy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Late-Stage Pipeline Highlights</w:t>
      </w:r>
    </w:p>
    <w:p>
      <w:pPr>
        <w:spacing w:after="0" w:line="22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Eplontersen granted Fast Track designation by the FDA for the treatment of patients with ATTR cardiomyopathy</w:t>
      </w:r>
    </w:p>
    <w:p>
      <w:pPr>
        <w:spacing w:after="0" w:line="225"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Olezarsen achieved multiple milestones advancing it closer to potentially addressing two distinct populations of patients with urgent unmet need, familial chylomicronemia syndrome (FCS) and severe hypertriglyceridemia (sHTG):</w:t>
      </w:r>
    </w:p>
    <w:p>
      <w:pPr>
        <w:spacing w:after="0" w:line="162" w:lineRule="exact"/>
        <w:rPr>
          <w:sz w:val="20"/>
          <w:szCs w:val="20"/>
          <w:color w:val="auto"/>
        </w:rPr>
      </w:pPr>
    </w:p>
    <w:p>
      <w:pPr>
        <w:ind w:left="740" w:hanging="327"/>
        <w:spacing w:after="0"/>
        <w:tabs>
          <w:tab w:leader="none" w:pos="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NDA to the FDA for FCS</w:t>
      </w:r>
    </w:p>
    <w:p>
      <w:pPr>
        <w:spacing w:after="0" w:line="22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positive Phase 3 Balance study data in patients with FCS with a simultaneous publication in the </w:t>
      </w:r>
      <w:r>
        <w:rPr>
          <w:rFonts w:ascii="Times New Roman" w:cs="Times New Roman" w:eastAsia="Times New Roman" w:hAnsi="Times New Roman"/>
          <w:sz w:val="18"/>
          <w:szCs w:val="18"/>
          <w:i w:val="1"/>
          <w:iCs w:val="1"/>
          <w:color w:val="auto"/>
        </w:rPr>
        <w:t>New England Journal of Medicine</w:t>
      </w:r>
    </w:p>
    <w:p>
      <w:pPr>
        <w:spacing w:after="0" w:line="225" w:lineRule="exact"/>
        <w:rPr>
          <w:rFonts w:ascii="Times New Roman" w:cs="Times New Roman" w:eastAsia="Times New Roman" w:hAnsi="Times New Roman"/>
          <w:sz w:val="18"/>
          <w:szCs w:val="18"/>
          <w:color w:val="auto"/>
        </w:rPr>
      </w:pPr>
    </w:p>
    <w:p>
      <w:pPr>
        <w:ind w:left="740" w:right="220" w:hanging="327"/>
        <w:spacing w:after="0" w:line="284" w:lineRule="auto"/>
        <w:tabs>
          <w:tab w:leader="none" w:pos="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positive Phase 2b Bridge study data in patients with HTG and sHTG with a simultaneous publication in the </w:t>
      </w:r>
      <w:r>
        <w:rPr>
          <w:rFonts w:ascii="Times New Roman" w:cs="Times New Roman" w:eastAsia="Times New Roman" w:hAnsi="Times New Roman"/>
          <w:sz w:val="18"/>
          <w:szCs w:val="18"/>
          <w:i w:val="1"/>
          <w:iCs w:val="1"/>
          <w:color w:val="auto"/>
        </w:rPr>
        <w:t>New England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Medicine</w:t>
      </w:r>
    </w:p>
    <w:p>
      <w:pPr>
        <w:spacing w:after="0" w:line="16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Expanded Access Program (EAP) for FCS in the U.S.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Breakthrough Therapy and Orphan Drug designations by the FDA for the treatment of patients with FCS</w:t>
      </w:r>
    </w:p>
    <w:p>
      <w:pPr>
        <w:spacing w:after="0" w:line="225" w:lineRule="exact"/>
        <w:rPr>
          <w:rFonts w:ascii="Times New Roman" w:cs="Times New Roman" w:eastAsia="Times New Roman" w:hAnsi="Times New Roman"/>
          <w:sz w:val="18"/>
          <w:szCs w:val="18"/>
          <w:color w:val="auto"/>
        </w:rPr>
      </w:pPr>
    </w:p>
    <w:p>
      <w:pPr>
        <w:ind w:left="740" w:right="320" w:hanging="327"/>
        <w:spacing w:after="0" w:line="282" w:lineRule="auto"/>
        <w:tabs>
          <w:tab w:leader="none" w:pos="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the Phase 3 CORE pivotal study and ESSENCE supportive exposure study for sHTG; CORE2 confirmatory pivotal study on track to fully enroll mid-year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Donidalorsen achieved multiple milestones advancing it closer to potentially becoming a first-in-class RNA-targeted prophylactic treatment for people with hereditary angioedema (HAE):</w:t>
      </w:r>
    </w:p>
    <w:p>
      <w:pPr>
        <w:spacing w:after="0" w:line="162" w:lineRule="exact"/>
        <w:rPr>
          <w:sz w:val="20"/>
          <w:szCs w:val="20"/>
          <w:color w:val="auto"/>
        </w:rPr>
      </w:pPr>
    </w:p>
    <w:p>
      <w:pPr>
        <w:ind w:left="820" w:hanging="326"/>
        <w:spacing w:after="0" w:line="282" w:lineRule="auto"/>
        <w:tabs>
          <w:tab w:leader="none" w:pos="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topline data from the Phase 3 OASIS-HAE study in patients treated every four weeks or every eight weeks; preparing to submit NDA</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EAP for HAE in the U.S.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Orphan Drug designation by EMA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Bepirovirsen granted Fast Track designation by the FDA for the treatment of patients with chronic hepatitis B (CHB)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Other Pipeline Highlights</w:t>
      </w:r>
    </w:p>
    <w:p>
      <w:pPr>
        <w:spacing w:after="0" w:line="22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Phase 2 data for ION224 (DGAT2) in patients with metabolic dysfunction-associated steatohepatitis (MASH)</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Phase 1/2 Orbit study of ION356 (PLP1) in patients with Pelizaeus-Merzbacher disease (PMD)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first quarter results keep us on track to achieve our 2024 financial guidance. With the launch of WAINUA in the U.S. underway, we are excited to add WAINUA royalties to our meaningful revenues in the first quarter. We believe WAINUA is uniquely positioned in this growing market to address the needs of ATTRv-PN patients who remain significantly underserved, especially as it is the only approved medicine with monthly dosing that can be self-administered via an auto injector,” said Elizabeth L. Hougen, chief financial officer of Ionis. “We continued to invest our capital resources in our near-term commercial opportunities, wholly owned pipeline and technology. We expect our modest expense growth this year to be driven by our activities to support the WAINUA launch and planned launches for olezarsen and donidalorsen with R&amp;D expenses approaching steady state as several late-stage studies have recently ended. We believe the investments we are making today and plan to make over the next few years position Ionis to drive increasing value for patients and stakeholders.”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Ionis’ revenue was comprised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16"/>
        </w:trPr>
        <w:tc>
          <w:tcPr>
            <w:tcW w:w="11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31,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r>
      <w:tr>
        <w:trPr>
          <w:trHeight w:val="198"/>
        </w:trPr>
        <w:tc>
          <w:tcPr>
            <w:tcW w:w="1140" w:type="dxa"/>
            <w:vAlign w:val="bottom"/>
          </w:tcPr>
          <w:p>
            <w:pPr>
              <w:spacing w:after="0"/>
              <w:rPr>
                <w:sz w:val="17"/>
                <w:szCs w:val="17"/>
                <w:color w:val="auto"/>
              </w:rPr>
            </w:pPr>
          </w:p>
        </w:tc>
        <w:tc>
          <w:tcPr>
            <w:tcW w:w="5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17"/>
                <w:szCs w:val="17"/>
                <w:color w:val="auto"/>
              </w:rPr>
            </w:pPr>
          </w:p>
        </w:tc>
        <w:tc>
          <w:tcPr>
            <w:tcW w:w="2020" w:type="dxa"/>
            <w:vAlign w:val="bottom"/>
            <w:gridSpan w:val="4"/>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9"/>
              </w:rPr>
              <w:t>(amounts in millions)</w:t>
            </w:r>
          </w:p>
        </w:tc>
        <w:tc>
          <w:tcPr>
            <w:tcW w:w="10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revenue:</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SPINRAZA royalties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14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WAINUA royalties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commercial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TEGSEDI and WAYLIVRA revenue, net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40" w:type="dxa"/>
            <w:vAlign w:val="bottom"/>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Licensing and other royalty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1140" w:type="dxa"/>
            <w:vAlign w:val="bottom"/>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5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commercial revenue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14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from upfront payments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Milestone payments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1140" w:type="dxa"/>
            <w:vAlign w:val="bottom"/>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Collaborative agreement revenue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4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WAINUA joint development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1140" w:type="dxa"/>
            <w:vAlign w:val="bottom"/>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5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research and development revenue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1140" w:type="dxa"/>
            <w:vAlign w:val="bottom"/>
          </w:tcPr>
          <w:p>
            <w:pPr>
              <w:spacing w:after="0"/>
              <w:rPr>
                <w:sz w:val="19"/>
                <w:szCs w:val="19"/>
                <w:color w:val="auto"/>
              </w:rPr>
            </w:pPr>
          </w:p>
        </w:tc>
        <w:tc>
          <w:tcPr>
            <w:tcW w:w="57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revenue in the first quarter of 2024 included a new source of royalty revenue with the launch of WAINUA in the U.S. during the first quarter of 2024. While the number of patients on SPINRAZA treatment remained consistent globally, royalties decreased year over year primarily due to the timing of shipments in several markets outside the U.S. Ionis’ commercial revenue in the first quarter of 2024 also included royalties from the net sales of QALSODY, which Biogen launched in the second quarter of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R&amp;D revenue in the first quarter of 2024 included increased revenue from the amortization of upfront payments compared to the same period last year due to the new collaborations Ionis entered into last year with Roche and Novartis. This increase was offset by decreases in milestone payments due to timing and WAINUA joint development revenue, which decreased as development activities relating to ATTRv-PN wound down with the launch of WAINUA underway.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Ionis’ operating expenses increased in the first quarter of 2024 compared to the same period in 2023, consistent with expectations. SG&amp;A expenses increased year over year primarily due to the launch of WAINUA in the U.S. and launch preparation activities for olezarsen and donidalorsen. R&amp;D expenses increased compared to the same period last year due to the timing of development activities and are expected to stabilize in 2024 as several late-stage studies have ended.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Ionis’ cash, cash equivalents and short-term investments decreased to $2.2 billion compared to $2.3 billion at December 31, 2023. As the year progresses, the Company plans to continue deploying its capital resources toward growth opportunities. Ionis’ working capital also decreased over the same period primarily due to the Company’s lower cash and short-term investments balance.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will host a conference call and webcast to discuss Ionis’ first quarter 2024 results at 11:30 a.m. Eastern time on Tuesday, May 7, 2024. Interested parties may access the webcast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A webcast replay will be available for a limited time at the same address. To access the Company’s first quarter 2024 earnings slides click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about SPINRAZA and QALSODY, visit </w:t>
      </w:r>
      <w:r>
        <w:rPr>
          <w:rFonts w:ascii="Times New Roman" w:cs="Times New Roman" w:eastAsia="Times New Roman" w:hAnsi="Times New Roman"/>
          <w:sz w:val="18"/>
          <w:szCs w:val="18"/>
          <w:u w:val="single" w:color="auto"/>
          <w:color w:val="auto"/>
        </w:rPr>
        <w:t>https://www.spinraza.com/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https://www.qalsody.com/</w:t>
      </w:r>
      <w:r>
        <w:rPr>
          <w:rFonts w:ascii="Times New Roman" w:cs="Times New Roman" w:eastAsia="Times New Roman" w:hAnsi="Times New Roman"/>
          <w:sz w:val="18"/>
          <w:szCs w:val="18"/>
          <w:color w:val="auto"/>
        </w:rPr>
        <w:t>, respectively. QALSODY is approved under accelerated approval based on reduction in plasma neurofilament light chain (NfL) observed in patients treated with QALSODY. Continued approval may be contingent upon verification of clinical benefit in confirmatory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 for WAINUA™ (eplontersen)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WAINUA injection, for subcutaneous use, 45 mg is indicated for the treatment of the polyneuropathy of hereditary transthyretin-mediated amyloidosis in adults.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for WAINUA™ (eplontersen)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Reduced Serum Vitamin A Levels and Recommended Supplementation </w:t>
      </w:r>
      <w:r>
        <w:rPr>
          <w:rFonts w:ascii="Times New Roman" w:cs="Times New Roman" w:eastAsia="Times New Roman" w:hAnsi="Times New Roman"/>
          <w:sz w:val="18"/>
          <w:szCs w:val="18"/>
          <w:color w:val="auto"/>
        </w:rPr>
        <w:t>WAINUA leads to a decrease in serum vitamin A levels. Supplement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recommended daily allowance of vitamin A. Refer patient to an ophthalmologist if ocular symptoms suggestive of vitamin A deficiency occur.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common adverse reactions (≥9% in WAINUA-treated patients) were vitamin A decreased (15%) and vomiting (9%).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link to </w:t>
      </w:r>
      <w:r>
        <w:rPr>
          <w:rFonts w:ascii="Times New Roman" w:cs="Times New Roman" w:eastAsia="Times New Roman" w:hAnsi="Times New Roman"/>
          <w:sz w:val="18"/>
          <w:szCs w:val="18"/>
          <w:u w:val="single" w:color="auto"/>
          <w:color w:val="auto"/>
        </w:rPr>
        <w:t>U.S. Full Prescribing Information</w:t>
      </w:r>
      <w:r>
        <w:rPr>
          <w:rFonts w:ascii="Times New Roman" w:cs="Times New Roman" w:eastAsia="Times New Roman" w:hAnsi="Times New Roman"/>
          <w:sz w:val="18"/>
          <w:szCs w:val="18"/>
          <w:color w:val="auto"/>
        </w:rPr>
        <w:t xml:space="preserve"> for WAINUA.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Ionis Pharmaceuticals,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three decades, Ionis has invented medicines that bring better futures to people with serious diseases. Ionis currently has five marketed medicines and a leading pipeline in neurology, cardiology, and other areas of high patient need. As the pioneer in RNA-targeted medicines, Ionis continues to drive innovation in RNA therapies in addition to advancing new approaches in gene editing. A deep understanding of disease biology and industry-leading technology propels our work, coupled with a passion and urgency to deliver life-changing advances for patients. To learn more about Ionis, visit </w:t>
      </w:r>
      <w:r>
        <w:rPr>
          <w:rFonts w:ascii="Times New Roman" w:cs="Times New Roman" w:eastAsia="Times New Roman" w:hAnsi="Times New Roman"/>
          <w:sz w:val="18"/>
          <w:szCs w:val="18"/>
          <w:u w:val="single" w:color="auto"/>
          <w:color w:val="auto"/>
        </w:rPr>
        <w:t>Ionispharma.com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X (Twitter)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Ionis’ Forward-looking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Ionis’ business, financial guidance and the therapeutic and commercial potential of our commercial medicines, additional medicines in development and technologies.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2023, and most recent Form 10-Q, which are on file with the Securities and Exchange Commission. Copies of these and other documents are available from the Company.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In this press release, unless the context requires otherwise, “Ionis,” “Company,” “we,” “our” and “us” all refer to Ionis Pharmaceuticals and its subsidiaries.</w:t>
      </w:r>
    </w:p>
    <w:p>
      <w:pPr>
        <w:spacing w:after="0" w:line="227"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7"/>
          <w:szCs w:val="17"/>
          <w:color w:val="auto"/>
        </w:rPr>
        <w:t>Ionis Pharmaceuticals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is a registered trademark of Ionis Pharmaceuticals, Inc. Akcea Therapeutics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is a registered trademark of Akcea Therapeutics, Inc. TEGSEDI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is a registered trademark of Akcea Therapeutics, Inc. WAYLIVRA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is a registered trademark of Akcea Therapeutics, Inc. QALSODY</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is a trademark of Biogen. SPINRAZA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is a registered trademark of Biogen. WAINUA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is a registered trademark of the AstraZeneca group of companies.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Ionis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Wade Walke,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info@ionisph.com 760-603-2331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Ionis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Hayley Soffer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CorporateCommunications@ionisph.com 760-603-4679</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IONIS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gridSpan w:val="6"/>
          </w:tcPr>
          <w:p>
            <w:pPr>
              <w:jc w:val="center"/>
              <w:ind w:left="2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gridSpan w:val="5"/>
          </w:tcPr>
          <w:p>
            <w:pPr>
              <w:jc w:val="center"/>
              <w:ind w:right="294"/>
              <w:spacing w:after="0"/>
              <w:rPr>
                <w:sz w:val="20"/>
                <w:szCs w:val="20"/>
                <w:color w:val="auto"/>
              </w:rPr>
            </w:pPr>
            <w:r>
              <w:rPr>
                <w:rFonts w:ascii="Times New Roman" w:cs="Times New Roman" w:eastAsia="Times New Roman" w:hAnsi="Times New Roman"/>
                <w:sz w:val="18"/>
                <w:szCs w:val="18"/>
                <w:color w:val="auto"/>
                <w:w w:val="99"/>
              </w:rPr>
              <w:t>March 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00" w:type="dxa"/>
            <w:vAlign w:val="bottom"/>
          </w:tcPr>
          <w:p>
            <w:pPr>
              <w:spacing w:after="0"/>
              <w:rPr>
                <w:sz w:val="20"/>
                <w:szCs w:val="20"/>
                <w:color w:val="auto"/>
              </w:rPr>
            </w:pP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36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5"/>
          </w:tcPr>
          <w:p>
            <w:pPr>
              <w:jc w:val="center"/>
              <w:ind w:right="294"/>
              <w:spacing w:after="0"/>
              <w:rPr>
                <w:sz w:val="20"/>
                <w:szCs w:val="20"/>
                <w:color w:val="auto"/>
              </w:rPr>
            </w:pPr>
            <w:r>
              <w:rPr>
                <w:rFonts w:ascii="Times New Roman" w:cs="Times New Roman" w:eastAsia="Times New Roman" w:hAnsi="Times New Roman"/>
                <w:sz w:val="18"/>
                <w:szCs w:val="18"/>
                <w:color w:val="auto"/>
                <w:w w:val="98"/>
              </w:rPr>
              <w:t>(unaudited)</w:t>
            </w: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000" w:type="dxa"/>
            <w:vAlign w:val="bottom"/>
            <w:vMerge w:val="continue"/>
          </w:tcPr>
          <w:p>
            <w:pPr>
              <w:spacing w:after="0"/>
              <w:rPr>
                <w:sz w:val="15"/>
                <w:szCs w:val="15"/>
                <w:color w:val="auto"/>
              </w:rPr>
            </w:pPr>
          </w:p>
        </w:tc>
        <w:tc>
          <w:tcPr>
            <w:tcW w:w="3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revenue:</w:t>
            </w:r>
          </w:p>
        </w:tc>
        <w:tc>
          <w:tcPr>
            <w:tcW w:w="3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SPINRAZA royalties</w:t>
            </w:r>
          </w:p>
        </w:tc>
        <w:tc>
          <w:tcPr>
            <w:tcW w:w="440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WAINUA royalties</w:t>
            </w:r>
          </w:p>
        </w:tc>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commercial revenue</w:t>
            </w:r>
          </w:p>
        </w:tc>
        <w:tc>
          <w:tcPr>
            <w:tcW w:w="36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commercial revenue</w:t>
            </w:r>
          </w:p>
        </w:tc>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3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Collaborative agreement revenue</w:t>
            </w:r>
          </w:p>
        </w:tc>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WAINUA joint development revenue</w:t>
            </w:r>
          </w:p>
        </w:tc>
        <w:tc>
          <w:tcPr>
            <w:tcW w:w="3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5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research and development revenue</w:t>
            </w:r>
          </w:p>
        </w:tc>
        <w:tc>
          <w:tcPr>
            <w:tcW w:w="3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364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Expenses:</w:t>
            </w:r>
          </w:p>
        </w:tc>
        <w:tc>
          <w:tcPr>
            <w:tcW w:w="364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3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development and patent</w:t>
            </w:r>
          </w:p>
        </w:tc>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2"/>
              </w:rPr>
              <w:t>(150)</w:t>
            </w: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related to the sale of future royalties</w:t>
            </w:r>
          </w:p>
        </w:tc>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6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7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40" w:type="dxa"/>
            <w:vAlign w:val="bottom"/>
          </w:tcPr>
          <w:p>
            <w:pPr>
              <w:spacing w:after="0"/>
              <w:rPr>
                <w:sz w:val="18"/>
                <w:szCs w:val="18"/>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18"/>
                <w:szCs w:val="18"/>
                <w:color w:val="auto"/>
              </w:rPr>
            </w:pPr>
          </w:p>
        </w:tc>
        <w:tc>
          <w:tcPr>
            <w:tcW w:w="600" w:type="dxa"/>
            <w:vAlign w:val="bottom"/>
            <w:gridSpan w:val="4"/>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44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6"/>
              </w:rPr>
              <w:t>(0.98)</w:t>
            </w: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(0.87)</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basic and diluted net loss per share</w:t>
            </w:r>
          </w:p>
        </w:tc>
        <w:tc>
          <w:tcPr>
            <w:tcW w:w="3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0"/>
        </w:trPr>
        <w:tc>
          <w:tcPr>
            <w:tcW w:w="5000" w:type="dxa"/>
            <w:vAlign w:val="bottom"/>
          </w:tcPr>
          <w:p>
            <w:pPr>
              <w:spacing w:after="0"/>
              <w:rPr>
                <w:sz w:val="24"/>
                <w:szCs w:val="24"/>
                <w:color w:val="auto"/>
              </w:rPr>
            </w:pPr>
          </w:p>
        </w:tc>
        <w:tc>
          <w:tcPr>
            <w:tcW w:w="3640" w:type="dxa"/>
            <w:vAlign w:val="bottom"/>
          </w:tcPr>
          <w:p>
            <w:pPr>
              <w:jc w:val="right"/>
              <w:ind w:right="2895"/>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IONIS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Basis: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Operating Expenses, Loss From Operations, and Net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214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4"/>
          </w:tcPr>
          <w:p>
            <w:pPr>
              <w:jc w:val="center"/>
              <w:ind w:right="335"/>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4"/>
          </w:tcPr>
          <w:p>
            <w:pPr>
              <w:jc w:val="center"/>
              <w:ind w:right="335"/>
              <w:spacing w:after="0"/>
              <w:rPr>
                <w:sz w:val="20"/>
                <w:szCs w:val="20"/>
                <w:color w:val="auto"/>
              </w:rPr>
            </w:pPr>
            <w:r>
              <w:rPr>
                <w:rFonts w:ascii="Times New Roman" w:cs="Times New Roman" w:eastAsia="Times New Roman" w:hAnsi="Times New Roman"/>
                <w:sz w:val="18"/>
                <w:szCs w:val="18"/>
                <w:color w:val="auto"/>
                <w:w w:val="98"/>
              </w:rPr>
              <w:t>(unaudited)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research, development and patent expenses according to GAAP</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compensation expense related to equity awards</w:t>
            </w:r>
          </w:p>
        </w:tc>
        <w:tc>
          <w:tcPr>
            <w:tcW w:w="7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research, development and patent expenses</w:t>
            </w: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selling, general and administrative expenses according to GAAP</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compensation expense related to equity awards</w:t>
            </w:r>
          </w:p>
        </w:tc>
        <w:tc>
          <w:tcPr>
            <w:tcW w:w="7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selling, general and administrative expenses</w:t>
            </w: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operating expenses according to GAAP</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23"/>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compensation expense related to equity awards</w:t>
            </w:r>
          </w:p>
        </w:tc>
        <w:tc>
          <w:tcPr>
            <w:tcW w:w="7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loss from operations according to GAAP</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78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compensation expense related to equity awards</w:t>
            </w:r>
          </w:p>
        </w:tc>
        <w:tc>
          <w:tcPr>
            <w:tcW w:w="7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loss from operations</w:t>
            </w: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(119)</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net loss according to GAAP</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78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compensation expense related to equity awards and related tax effects</w:t>
            </w:r>
          </w:p>
        </w:tc>
        <w:tc>
          <w:tcPr>
            <w:tcW w:w="7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(112)</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GAAP to Non-GAAP Basis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illustrated in the Selected Financial Information in this press release, non-GAAP operating expenses, non-GAAP loss from operations, and non-GAAP net loss were adjusted from GAAP to exclude compensation expense related to equity awards and the related tax effects. Compensation expense related to equity awards are non-cash. These measures are provided as supplementary information and are not a substitute for financial measures calculated in accordance with GAAP. Ionis reports these non-GAAP results to better enable financial statement users to assess and compare its historical performance and project its future operating results and cash flows. Further, the presentation of Ionis' non-GAAP results is consistent with how Ionis' management internally evaluates the performance of its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IONIS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31,</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00" w:type="dxa"/>
            <w:vAlign w:val="bottom"/>
            <w:vMerge w:val="continue"/>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4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Contracts receivable</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98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deferred contract revenue</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0.125% convertible senior notes, net – short-term</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1.75% convertible senior notes, net</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 convertible senior notes, net</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related to sale of future royalties, net</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980" w:type="dxa"/>
            <w:vAlign w:val="bottom"/>
            <w:vMerge w:val="restart"/>
          </w:tcPr>
          <w:p>
            <w:pPr>
              <w:jc w:val="right"/>
              <w:ind w:right="2935"/>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0"/>
        </w:trPr>
        <w:tc>
          <w:tcPr>
            <w:tcW w:w="47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70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Key 2024 Value Driving Events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788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Product Launches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3780" w:type="dxa"/>
            <w:vAlign w:val="bottom"/>
            <w:tcBorders>
              <w:top w:val="single" w:sz="8" w:color="auto"/>
              <w:bottom w:val="single" w:sz="8" w:color="auto"/>
              <w:right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4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WAINUA</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ATTRv-PN</w:t>
            </w:r>
          </w:p>
        </w:tc>
        <w:tc>
          <w:tcPr>
            <w:tcW w:w="37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Olezarsen</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FCS</w:t>
            </w:r>
          </w:p>
        </w:tc>
        <w:tc>
          <w:tcPr>
            <w:tcW w:w="37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QALSODY (EU)</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SOD1-ALS</w:t>
            </w:r>
          </w:p>
        </w:tc>
        <w:tc>
          <w:tcPr>
            <w:tcW w:w="37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Regulatory Actions</w:t>
            </w:r>
          </w:p>
        </w:tc>
        <w:tc>
          <w:tcPr>
            <w:tcW w:w="266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Regulatory Action</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OUS filings</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Eplontersen</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ATTRv-PN</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EMA approval decision</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OUS approval decision(s)</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NDA filing</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Olezarsen</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FCS</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FDA approval decision</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continue"/>
          </w:tcPr>
          <w:p>
            <w:pPr>
              <w:spacing w:after="0"/>
              <w:rPr>
                <w:sz w:val="8"/>
                <w:szCs w:val="8"/>
                <w:color w:val="auto"/>
              </w:rPr>
            </w:pPr>
          </w:p>
        </w:tc>
        <w:tc>
          <w:tcPr>
            <w:tcW w:w="2660" w:type="dxa"/>
            <w:vAlign w:val="bottom"/>
            <w:tcBorders>
              <w:right w:val="single" w:sz="8" w:color="auto"/>
            </w:tcBorders>
            <w:vMerge w:val="continue"/>
          </w:tcPr>
          <w:p>
            <w:pPr>
              <w:spacing w:after="0"/>
              <w:rPr>
                <w:sz w:val="8"/>
                <w:szCs w:val="8"/>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EU filing</w:t>
            </w:r>
          </w:p>
        </w:tc>
        <w:tc>
          <w:tcPr>
            <w:tcW w:w="60" w:type="dxa"/>
            <w:vAlign w:val="bottom"/>
            <w:tcBorders>
              <w:right w:val="single" w:sz="8" w:color="auto"/>
            </w:tcBorders>
          </w:tcPr>
          <w:p>
            <w:pPr>
              <w:spacing w:after="0"/>
              <w:rPr>
                <w:sz w:val="8"/>
                <w:szCs w:val="8"/>
                <w:color w:val="auto"/>
              </w:rPr>
            </w:pPr>
          </w:p>
        </w:tc>
        <w:tc>
          <w:tcPr>
            <w:tcW w:w="2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320" w:type="dxa"/>
            <w:vAlign w:val="bottom"/>
            <w:tcBorders>
              <w:left w:val="single" w:sz="8" w:color="auto"/>
              <w:right w:val="single" w:sz="8" w:color="auto"/>
            </w:tcBorders>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37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 filing</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Donidalorsen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NDA filing</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QALSODY</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SOD1-ALS</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EMA approval decision</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gridSpan w:val="2"/>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Key Phase 3 Clinical Data Events</w:t>
            </w:r>
          </w:p>
        </w:tc>
        <w:tc>
          <w:tcPr>
            <w:tcW w:w="3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Event</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Olezarsen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FCS</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study full data</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Donidalorsen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OASIS-HAE topline data</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Donidalorsen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OASIS-HAE full data</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Donidalorsen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OASIS-Plus: OLE + Switch data</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gridSpan w:val="2"/>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Key Phase 2 Clinical Data Events</w:t>
            </w:r>
          </w:p>
        </w:tc>
        <w:tc>
          <w:tcPr>
            <w:tcW w:w="3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Event</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Donidalorsen</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3-year Phase 2 OLE data</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16"/>
                <w:szCs w:val="16"/>
                <w:color w:val="auto"/>
              </w:rPr>
              <w:t>IONIS-FB-L</w:t>
            </w:r>
            <w:r>
              <w:rPr>
                <w:rFonts w:ascii="Times New Roman" w:cs="Times New Roman" w:eastAsia="Times New Roman" w:hAnsi="Times New Roman"/>
                <w:sz w:val="25"/>
                <w:szCs w:val="25"/>
                <w:color w:val="auto"/>
                <w:vertAlign w:val="subscript"/>
              </w:rPr>
              <w:t>Rx</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IgAN</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2 data</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16"/>
                <w:szCs w:val="16"/>
                <w:color w:val="auto"/>
              </w:rPr>
              <w:t>IONIS-FB-L</w:t>
            </w:r>
            <w:r>
              <w:rPr>
                <w:rFonts w:ascii="Times New Roman" w:cs="Times New Roman" w:eastAsia="Times New Roman" w:hAnsi="Times New Roman"/>
                <w:sz w:val="25"/>
                <w:szCs w:val="25"/>
                <w:color w:val="auto"/>
                <w:vertAlign w:val="subscript"/>
              </w:rPr>
              <w:t>Rx</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GOLDEN study data</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ION224 (DGAT2)</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NASH</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2 data</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ION582 (UBE3A)</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Angelman syndrome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HALOS study data</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ION541 (ATXN2)</w:t>
            </w: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ALS</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ALSpire study data</w:t>
            </w:r>
          </w:p>
        </w:tc>
        <w:tc>
          <w:tcPr>
            <w:tcW w:w="6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-3856990</wp:posOffset>
            </wp:positionV>
            <wp:extent cx="111760"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-2005330</wp:posOffset>
            </wp:positionV>
            <wp:extent cx="11176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-1851025</wp:posOffset>
            </wp:positionV>
            <wp:extent cx="111760" cy="111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-462280</wp:posOffset>
            </wp:positionV>
            <wp:extent cx="111760"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111125"/>
                    </a:xfrm>
                    <a:prstGeom prst="rect">
                      <a:avLst/>
                    </a:prstGeom>
                    <a:noFill/>
                  </pic:spPr>
                </pic:pic>
              </a:graphicData>
            </a:graphic>
          </wp:anchor>
        </w:drawing>
      </w:r>
    </w:p>
    <w:p>
      <w:pPr>
        <w:spacing w:after="0" w:line="17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expectations based on current assumptions and subject to change.</w:t>
      </w:r>
    </w:p>
    <w:p>
      <w:pPr>
        <w:spacing w:after="0" w:line="225" w:lineRule="exact"/>
        <w:rPr>
          <w:rFonts w:ascii="Times New Roman" w:cs="Times New Roman" w:eastAsia="Times New Roman" w:hAnsi="Times New Roman"/>
          <w:sz w:val="18"/>
          <w:szCs w:val="18"/>
          <w:color w:val="auto"/>
        </w:rPr>
      </w:pPr>
    </w:p>
    <w:p>
      <w:pPr>
        <w:ind w:left="5540" w:hanging="227"/>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o"/>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o"/>
      <w:numFmt w:val="bullet"/>
      <w:start w:val="1"/>
    </w:lvl>
  </w:abstractNum>
  <w:abstractNum w:abstractNumId="7">
    <w:nsid w:val="5BD062C2"/>
    <w:multiLevelType w:val="hybridMultilevel"/>
    <w:lvl w:ilvl="0">
      <w:lvlJc w:val="left"/>
      <w:lvlText w:val="•"/>
      <w:numFmt w:val="bullet"/>
      <w:start w:val="1"/>
    </w:lvl>
    <w:lvl w:ilvl="1">
      <w:lvlJc w:val="left"/>
      <w:lvlText w:val="o"/>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2024-05-07T10:22:04Z</dcterms:created>
  <dcterms:modified xsi:type="dcterms:W3CDTF">2024-05-07T10:22:04Z</dcterms:modified>
</cp:coreProperties>
</file>